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C28" w:rsidRPr="00606153" w:rsidRDefault="00BA1C28" w:rsidP="00BA1C28">
      <w:pPr>
        <w:widowControl w:val="0"/>
        <w:jc w:val="center"/>
        <w:rPr>
          <w:sz w:val="24"/>
          <w:szCs w:val="24"/>
        </w:rPr>
      </w:pPr>
      <w:r w:rsidRPr="00606153">
        <w:rPr>
          <w:sz w:val="24"/>
          <w:szCs w:val="24"/>
        </w:rPr>
        <w:t>ХАНТЫ-МАНСИЙСКИЙ АВТОНОМНЫЙ ОКРУГ – ЮГРА</w:t>
      </w:r>
    </w:p>
    <w:p w:rsidR="00BA1C28" w:rsidRDefault="00BA1C28" w:rsidP="00BA1C28">
      <w:pPr>
        <w:widowControl w:val="0"/>
        <w:jc w:val="center"/>
      </w:pPr>
    </w:p>
    <w:p w:rsidR="00BA1C28" w:rsidRDefault="00BA1C28" w:rsidP="00BA1C28">
      <w:pPr>
        <w:widowControl w:val="0"/>
      </w:pPr>
      <w:r>
        <w:fldChar w:fldCharType="begin"/>
      </w:r>
      <w:r>
        <w:instrText xml:space="preserve"> INCLUDEPICTURE "http://website/index_2007/gerb.png" \* MERGEFORMATINET </w:instrText>
      </w:r>
      <w:r>
        <w:fldChar w:fldCharType="separate"/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399EF8C4" wp14:editId="22BA4CEC">
            <wp:simplePos x="0" y="0"/>
            <wp:positionH relativeFrom="column">
              <wp:posOffset>2619375</wp:posOffset>
            </wp:positionH>
            <wp:positionV relativeFrom="paragraph">
              <wp:posOffset>0</wp:posOffset>
            </wp:positionV>
            <wp:extent cx="704850" cy="866775"/>
            <wp:effectExtent l="0" t="0" r="0" b="9525"/>
            <wp:wrapSquare wrapText="left"/>
            <wp:docPr id="1" name="Рисунок 1" descr="http://website/index_2007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ebsite/index_2007/gerb.png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fldChar w:fldCharType="end"/>
      </w:r>
    </w:p>
    <w:p w:rsidR="00BA1C28" w:rsidRPr="00C60157" w:rsidRDefault="00BA1C28" w:rsidP="00BA1C28">
      <w:pPr>
        <w:widowControl w:val="0"/>
        <w:jc w:val="both"/>
        <w:rPr>
          <w:color w:val="000080"/>
          <w:sz w:val="28"/>
          <w:szCs w:val="28"/>
        </w:rPr>
      </w:pPr>
    </w:p>
    <w:p w:rsidR="00BA1C28" w:rsidRPr="00C60157" w:rsidRDefault="00BA1C28" w:rsidP="00BA1C28">
      <w:pPr>
        <w:widowControl w:val="0"/>
        <w:jc w:val="both"/>
        <w:rPr>
          <w:color w:val="000080"/>
          <w:sz w:val="28"/>
          <w:szCs w:val="28"/>
        </w:rPr>
      </w:pPr>
    </w:p>
    <w:p w:rsidR="00BA1C28" w:rsidRPr="00C60157" w:rsidRDefault="00BA1C28" w:rsidP="00BA1C28">
      <w:pPr>
        <w:widowControl w:val="0"/>
        <w:jc w:val="both"/>
        <w:rPr>
          <w:color w:val="000080"/>
          <w:sz w:val="28"/>
          <w:szCs w:val="28"/>
        </w:rPr>
      </w:pPr>
    </w:p>
    <w:p w:rsidR="00BA1C28" w:rsidRDefault="00BA1C28" w:rsidP="00BA1C28">
      <w:pPr>
        <w:widowControl w:val="0"/>
        <w:jc w:val="center"/>
        <w:rPr>
          <w:sz w:val="40"/>
          <w:szCs w:val="40"/>
        </w:rPr>
      </w:pPr>
    </w:p>
    <w:p w:rsidR="00BA1C28" w:rsidRDefault="00BA1C28" w:rsidP="00BA1C28">
      <w:pPr>
        <w:widowControl w:val="0"/>
        <w:jc w:val="center"/>
        <w:rPr>
          <w:sz w:val="40"/>
          <w:szCs w:val="40"/>
        </w:rPr>
      </w:pPr>
    </w:p>
    <w:p w:rsidR="00BA1C28" w:rsidRDefault="00BA1C28" w:rsidP="00BA1C28">
      <w:pPr>
        <w:widowControl w:val="0"/>
        <w:jc w:val="center"/>
        <w:rPr>
          <w:sz w:val="40"/>
          <w:szCs w:val="40"/>
        </w:rPr>
      </w:pPr>
    </w:p>
    <w:p w:rsidR="00BA1C28" w:rsidRDefault="00BA1C28" w:rsidP="00BA1C28">
      <w:pPr>
        <w:widowControl w:val="0"/>
        <w:jc w:val="center"/>
        <w:rPr>
          <w:sz w:val="40"/>
          <w:szCs w:val="40"/>
        </w:rPr>
      </w:pPr>
    </w:p>
    <w:p w:rsidR="00BA1C28" w:rsidRDefault="00BA1C28" w:rsidP="00BA1C28">
      <w:pPr>
        <w:widowControl w:val="0"/>
        <w:jc w:val="center"/>
        <w:rPr>
          <w:sz w:val="40"/>
          <w:szCs w:val="40"/>
        </w:rPr>
      </w:pPr>
    </w:p>
    <w:p w:rsidR="00BA1C28" w:rsidRDefault="00BA1C28" w:rsidP="00BA1C28">
      <w:pPr>
        <w:widowControl w:val="0"/>
        <w:jc w:val="center"/>
        <w:rPr>
          <w:sz w:val="40"/>
          <w:szCs w:val="40"/>
        </w:rPr>
      </w:pPr>
    </w:p>
    <w:p w:rsidR="00BA1C28" w:rsidRDefault="00BA1C28" w:rsidP="00BA1C28">
      <w:pPr>
        <w:widowControl w:val="0"/>
        <w:jc w:val="center"/>
        <w:rPr>
          <w:b/>
          <w:bCs/>
          <w:sz w:val="40"/>
          <w:szCs w:val="40"/>
        </w:rPr>
      </w:pPr>
    </w:p>
    <w:p w:rsidR="00BA1C28" w:rsidRPr="003D7CEB" w:rsidRDefault="00BA1C28" w:rsidP="00BA1C28">
      <w:pPr>
        <w:widowControl w:val="0"/>
        <w:jc w:val="center"/>
        <w:rPr>
          <w:b/>
          <w:bCs/>
          <w:sz w:val="40"/>
          <w:szCs w:val="40"/>
        </w:rPr>
      </w:pPr>
    </w:p>
    <w:p w:rsidR="00BA1C28" w:rsidRPr="006709E2" w:rsidRDefault="00BA1C28" w:rsidP="00BA1C28">
      <w:pPr>
        <w:widowControl w:val="0"/>
        <w:jc w:val="center"/>
        <w:rPr>
          <w:b/>
          <w:sz w:val="32"/>
          <w:szCs w:val="32"/>
        </w:rPr>
      </w:pPr>
      <w:r w:rsidRPr="006709E2">
        <w:rPr>
          <w:b/>
          <w:sz w:val="32"/>
          <w:szCs w:val="32"/>
        </w:rPr>
        <w:t xml:space="preserve">ИТОГИ </w:t>
      </w:r>
    </w:p>
    <w:p w:rsidR="00BA1C28" w:rsidRPr="006709E2" w:rsidRDefault="00BA1C28" w:rsidP="00BA1C28">
      <w:pPr>
        <w:widowControl w:val="0"/>
        <w:jc w:val="center"/>
        <w:rPr>
          <w:b/>
          <w:sz w:val="32"/>
          <w:szCs w:val="32"/>
        </w:rPr>
      </w:pPr>
      <w:r w:rsidRPr="006709E2">
        <w:rPr>
          <w:b/>
          <w:sz w:val="32"/>
          <w:szCs w:val="32"/>
        </w:rPr>
        <w:t>СОЦИАЛЬНО-ЭКОНОМИЧЕСКОГО РАЗВИТИЯ</w:t>
      </w:r>
    </w:p>
    <w:p w:rsidR="00BA1C28" w:rsidRPr="006709E2" w:rsidRDefault="00BA1C28" w:rsidP="00BA1C28">
      <w:pPr>
        <w:widowControl w:val="0"/>
        <w:jc w:val="center"/>
        <w:rPr>
          <w:b/>
          <w:sz w:val="32"/>
          <w:szCs w:val="32"/>
        </w:rPr>
      </w:pPr>
      <w:r w:rsidRPr="006709E2">
        <w:rPr>
          <w:b/>
          <w:sz w:val="32"/>
          <w:szCs w:val="32"/>
        </w:rPr>
        <w:t>ХАНТЫ-МАНСИЙСКОГО АВТОНОМНОГО</w:t>
      </w:r>
    </w:p>
    <w:p w:rsidR="00BA1C28" w:rsidRPr="006709E2" w:rsidRDefault="00BA1C28" w:rsidP="00BA1C28">
      <w:pPr>
        <w:widowControl w:val="0"/>
        <w:jc w:val="center"/>
        <w:rPr>
          <w:b/>
          <w:sz w:val="32"/>
          <w:szCs w:val="32"/>
        </w:rPr>
      </w:pPr>
      <w:r w:rsidRPr="006709E2">
        <w:rPr>
          <w:b/>
          <w:sz w:val="32"/>
          <w:szCs w:val="32"/>
        </w:rPr>
        <w:t xml:space="preserve"> ОКРУГА </w:t>
      </w:r>
      <w:r>
        <w:rPr>
          <w:b/>
          <w:sz w:val="32"/>
          <w:szCs w:val="32"/>
        </w:rPr>
        <w:t>–</w:t>
      </w:r>
      <w:r w:rsidRPr="006709E2">
        <w:rPr>
          <w:b/>
          <w:sz w:val="32"/>
          <w:szCs w:val="32"/>
        </w:rPr>
        <w:t xml:space="preserve"> ЮГРЫ</w:t>
      </w:r>
      <w:r>
        <w:rPr>
          <w:b/>
          <w:sz w:val="32"/>
          <w:szCs w:val="32"/>
        </w:rPr>
        <w:t xml:space="preserve"> </w:t>
      </w:r>
      <w:r w:rsidRPr="006709E2">
        <w:rPr>
          <w:b/>
          <w:sz w:val="32"/>
          <w:szCs w:val="32"/>
        </w:rPr>
        <w:t>ЗА ЯНВАРЬ-</w:t>
      </w:r>
      <w:r>
        <w:rPr>
          <w:b/>
          <w:sz w:val="32"/>
          <w:szCs w:val="32"/>
        </w:rPr>
        <w:t>ИЮНЬ</w:t>
      </w:r>
      <w:r w:rsidRPr="004F4297">
        <w:rPr>
          <w:b/>
          <w:sz w:val="32"/>
          <w:szCs w:val="32"/>
        </w:rPr>
        <w:t xml:space="preserve"> 201</w:t>
      </w:r>
      <w:r>
        <w:rPr>
          <w:b/>
          <w:sz w:val="32"/>
          <w:szCs w:val="32"/>
        </w:rPr>
        <w:t>9</w:t>
      </w:r>
      <w:r w:rsidRPr="004F4297">
        <w:rPr>
          <w:b/>
          <w:sz w:val="32"/>
          <w:szCs w:val="32"/>
        </w:rPr>
        <w:t xml:space="preserve"> ГОДА</w:t>
      </w:r>
    </w:p>
    <w:p w:rsidR="00BA1C28" w:rsidRPr="006709E2" w:rsidRDefault="00BA1C28" w:rsidP="00BA1C28">
      <w:pPr>
        <w:widowControl w:val="0"/>
        <w:jc w:val="both"/>
        <w:rPr>
          <w:sz w:val="32"/>
          <w:szCs w:val="32"/>
        </w:rPr>
      </w:pPr>
    </w:p>
    <w:p w:rsidR="00BA1C28" w:rsidRPr="00C60157" w:rsidRDefault="00BA1C28" w:rsidP="00BA1C28">
      <w:pPr>
        <w:widowControl w:val="0"/>
        <w:jc w:val="both"/>
        <w:rPr>
          <w:color w:val="000080"/>
          <w:sz w:val="28"/>
          <w:szCs w:val="28"/>
        </w:rPr>
      </w:pPr>
    </w:p>
    <w:p w:rsidR="00BA1C28" w:rsidRPr="00C60157" w:rsidRDefault="00BA1C28" w:rsidP="00BA1C28">
      <w:pPr>
        <w:widowControl w:val="0"/>
        <w:jc w:val="both"/>
        <w:rPr>
          <w:color w:val="000080"/>
          <w:sz w:val="28"/>
          <w:szCs w:val="28"/>
        </w:rPr>
      </w:pPr>
      <w:bookmarkStart w:id="0" w:name="_GoBack"/>
      <w:bookmarkEnd w:id="0"/>
    </w:p>
    <w:p w:rsidR="00BA1C28" w:rsidRPr="00C60157" w:rsidRDefault="00BA1C28" w:rsidP="00BA1C28">
      <w:pPr>
        <w:widowControl w:val="0"/>
        <w:jc w:val="both"/>
        <w:rPr>
          <w:color w:val="000080"/>
          <w:sz w:val="28"/>
          <w:szCs w:val="28"/>
        </w:rPr>
      </w:pPr>
    </w:p>
    <w:p w:rsidR="00BA1C28" w:rsidRDefault="00BA1C28" w:rsidP="00BA1C28">
      <w:pPr>
        <w:widowControl w:val="0"/>
        <w:jc w:val="right"/>
        <w:rPr>
          <w:sz w:val="28"/>
          <w:szCs w:val="28"/>
        </w:rPr>
      </w:pPr>
    </w:p>
    <w:p w:rsidR="00BA1C28" w:rsidRDefault="00BA1C28" w:rsidP="00BA1C28">
      <w:pPr>
        <w:widowControl w:val="0"/>
        <w:jc w:val="right"/>
        <w:rPr>
          <w:sz w:val="28"/>
          <w:szCs w:val="28"/>
        </w:rPr>
      </w:pPr>
    </w:p>
    <w:p w:rsidR="00BA1C28" w:rsidRPr="00C60157" w:rsidRDefault="00BA1C28" w:rsidP="00BA1C28">
      <w:pPr>
        <w:widowControl w:val="0"/>
        <w:jc w:val="right"/>
        <w:rPr>
          <w:sz w:val="28"/>
          <w:szCs w:val="28"/>
        </w:rPr>
      </w:pPr>
    </w:p>
    <w:p w:rsidR="00BA1C28" w:rsidRPr="00C60157" w:rsidRDefault="00BA1C28" w:rsidP="00BA1C28">
      <w:pPr>
        <w:widowControl w:val="0"/>
        <w:jc w:val="right"/>
        <w:rPr>
          <w:sz w:val="28"/>
          <w:szCs w:val="28"/>
        </w:rPr>
      </w:pPr>
    </w:p>
    <w:p w:rsidR="00BA1C28" w:rsidRDefault="00BA1C28" w:rsidP="00BA1C28">
      <w:pPr>
        <w:widowControl w:val="0"/>
        <w:jc w:val="center"/>
        <w:rPr>
          <w:sz w:val="28"/>
          <w:szCs w:val="28"/>
        </w:rPr>
      </w:pPr>
    </w:p>
    <w:p w:rsidR="00BA1C28" w:rsidRDefault="00BA1C28" w:rsidP="00BA1C28">
      <w:pPr>
        <w:widowControl w:val="0"/>
        <w:jc w:val="center"/>
        <w:rPr>
          <w:sz w:val="28"/>
          <w:szCs w:val="28"/>
        </w:rPr>
      </w:pPr>
    </w:p>
    <w:p w:rsidR="00BA1C28" w:rsidRDefault="00BA1C28" w:rsidP="00BA1C28">
      <w:pPr>
        <w:widowControl w:val="0"/>
        <w:jc w:val="center"/>
        <w:rPr>
          <w:sz w:val="28"/>
          <w:szCs w:val="28"/>
        </w:rPr>
      </w:pPr>
    </w:p>
    <w:p w:rsidR="00BA1C28" w:rsidRDefault="00BA1C28" w:rsidP="00BA1C28">
      <w:pPr>
        <w:widowControl w:val="0"/>
        <w:jc w:val="center"/>
        <w:rPr>
          <w:sz w:val="28"/>
          <w:szCs w:val="28"/>
        </w:rPr>
      </w:pPr>
    </w:p>
    <w:p w:rsidR="00BA1C28" w:rsidRDefault="00BA1C28" w:rsidP="00BA1C28">
      <w:pPr>
        <w:widowControl w:val="0"/>
        <w:jc w:val="center"/>
        <w:rPr>
          <w:sz w:val="28"/>
          <w:szCs w:val="28"/>
        </w:rPr>
      </w:pPr>
    </w:p>
    <w:p w:rsidR="00BA1C28" w:rsidRDefault="00BA1C28" w:rsidP="00BA1C28">
      <w:pPr>
        <w:widowControl w:val="0"/>
        <w:jc w:val="center"/>
        <w:rPr>
          <w:sz w:val="28"/>
          <w:szCs w:val="28"/>
        </w:rPr>
      </w:pPr>
    </w:p>
    <w:p w:rsidR="00BA1C28" w:rsidRDefault="00BA1C28" w:rsidP="00BA1C28">
      <w:pPr>
        <w:widowControl w:val="0"/>
        <w:jc w:val="center"/>
        <w:rPr>
          <w:sz w:val="28"/>
          <w:szCs w:val="28"/>
        </w:rPr>
      </w:pPr>
    </w:p>
    <w:p w:rsidR="00BA1C28" w:rsidRDefault="00BA1C28" w:rsidP="00BA1C28">
      <w:pPr>
        <w:widowControl w:val="0"/>
        <w:jc w:val="center"/>
        <w:rPr>
          <w:sz w:val="28"/>
          <w:szCs w:val="28"/>
        </w:rPr>
      </w:pPr>
    </w:p>
    <w:p w:rsidR="00BA1C28" w:rsidRDefault="00BA1C28" w:rsidP="00BA1C28">
      <w:pPr>
        <w:widowControl w:val="0"/>
        <w:jc w:val="center"/>
        <w:rPr>
          <w:sz w:val="28"/>
          <w:szCs w:val="28"/>
        </w:rPr>
      </w:pPr>
    </w:p>
    <w:p w:rsidR="00BA1C28" w:rsidRDefault="00BA1C28" w:rsidP="00BA1C28">
      <w:pPr>
        <w:widowControl w:val="0"/>
        <w:jc w:val="center"/>
        <w:rPr>
          <w:sz w:val="28"/>
          <w:szCs w:val="28"/>
        </w:rPr>
      </w:pPr>
    </w:p>
    <w:p w:rsidR="00BA1C28" w:rsidRDefault="00BA1C28" w:rsidP="00BA1C28">
      <w:pPr>
        <w:widowControl w:val="0"/>
        <w:jc w:val="center"/>
        <w:rPr>
          <w:sz w:val="28"/>
          <w:szCs w:val="28"/>
        </w:rPr>
      </w:pPr>
    </w:p>
    <w:p w:rsidR="00BA1C28" w:rsidRDefault="00BA1C28" w:rsidP="00BA1C28">
      <w:pPr>
        <w:widowControl w:val="0"/>
        <w:jc w:val="center"/>
        <w:rPr>
          <w:sz w:val="28"/>
          <w:szCs w:val="28"/>
        </w:rPr>
      </w:pPr>
    </w:p>
    <w:p w:rsidR="00BA1C28" w:rsidRDefault="00BA1C28" w:rsidP="00BA1C28">
      <w:pPr>
        <w:widowControl w:val="0"/>
        <w:jc w:val="center"/>
        <w:rPr>
          <w:sz w:val="28"/>
          <w:szCs w:val="28"/>
        </w:rPr>
      </w:pPr>
    </w:p>
    <w:p w:rsidR="00BA1C28" w:rsidRDefault="00BA1C28" w:rsidP="00BA1C28">
      <w:pPr>
        <w:widowControl w:val="0"/>
        <w:jc w:val="center"/>
        <w:rPr>
          <w:sz w:val="28"/>
          <w:szCs w:val="28"/>
        </w:rPr>
      </w:pPr>
    </w:p>
    <w:p w:rsidR="00BA1C28" w:rsidRDefault="00BA1C28" w:rsidP="00BA1C28">
      <w:pPr>
        <w:widowControl w:val="0"/>
        <w:jc w:val="center"/>
        <w:rPr>
          <w:caps/>
          <w:sz w:val="26"/>
          <w:szCs w:val="26"/>
        </w:rPr>
      </w:pPr>
      <w:r w:rsidRPr="00C60157">
        <w:rPr>
          <w:sz w:val="28"/>
          <w:szCs w:val="28"/>
        </w:rPr>
        <w:t>Ханты-Мансийск</w:t>
      </w:r>
    </w:p>
    <w:p w:rsidR="00E90788" w:rsidRPr="00A20E22" w:rsidRDefault="00F34899" w:rsidP="00E90788">
      <w:pPr>
        <w:widowControl w:val="0"/>
        <w:jc w:val="center"/>
        <w:rPr>
          <w:caps/>
          <w:sz w:val="26"/>
          <w:szCs w:val="26"/>
        </w:rPr>
      </w:pPr>
      <w:r w:rsidRPr="00A20E22">
        <w:rPr>
          <w:sz w:val="26"/>
          <w:szCs w:val="26"/>
        </w:rPr>
        <w:br w:type="page"/>
      </w:r>
      <w:r w:rsidR="00E90788" w:rsidRPr="00A20E22">
        <w:rPr>
          <w:caps/>
          <w:sz w:val="26"/>
          <w:szCs w:val="26"/>
        </w:rPr>
        <w:lastRenderedPageBreak/>
        <w:t>СОДЕРЖАНИЕ</w:t>
      </w:r>
    </w:p>
    <w:p w:rsidR="00943590" w:rsidRPr="00A20E22" w:rsidRDefault="00943590" w:rsidP="00E90788">
      <w:pPr>
        <w:widowControl w:val="0"/>
        <w:jc w:val="center"/>
        <w:rPr>
          <w:caps/>
          <w:sz w:val="26"/>
          <w:szCs w:val="26"/>
        </w:rPr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0"/>
          <w:szCs w:val="20"/>
          <w:lang w:eastAsia="ru-RU"/>
        </w:rPr>
        <w:id w:val="-1939603977"/>
        <w:docPartObj>
          <w:docPartGallery w:val="Table of Contents"/>
          <w:docPartUnique/>
        </w:docPartObj>
      </w:sdtPr>
      <w:sdtEndPr/>
      <w:sdtContent>
        <w:p w:rsidR="001B58EA" w:rsidRPr="00A20E22" w:rsidRDefault="001B58EA">
          <w:pPr>
            <w:pStyle w:val="af5"/>
            <w:rPr>
              <w:color w:val="auto"/>
              <w:sz w:val="26"/>
              <w:szCs w:val="26"/>
            </w:rPr>
          </w:pPr>
        </w:p>
        <w:p w:rsidR="0050187A" w:rsidRPr="00A20E22" w:rsidRDefault="001B58EA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r w:rsidRPr="00A20E22">
            <w:rPr>
              <w:b/>
              <w:bCs/>
              <w:sz w:val="26"/>
              <w:szCs w:val="26"/>
            </w:rPr>
            <w:fldChar w:fldCharType="begin"/>
          </w:r>
          <w:r w:rsidRPr="00A20E22">
            <w:rPr>
              <w:b/>
              <w:bCs/>
              <w:sz w:val="26"/>
              <w:szCs w:val="26"/>
            </w:rPr>
            <w:instrText xml:space="preserve"> TOC \o "1-3" \h \z \u </w:instrText>
          </w:r>
          <w:r w:rsidRPr="00A20E22">
            <w:rPr>
              <w:b/>
              <w:bCs/>
              <w:sz w:val="26"/>
              <w:szCs w:val="26"/>
            </w:rPr>
            <w:fldChar w:fldCharType="separate"/>
          </w:r>
          <w:hyperlink w:anchor="_Toc10912536" w:history="1">
            <w:r w:rsidR="0050187A" w:rsidRPr="00A20E22">
              <w:rPr>
                <w:rStyle w:val="ac"/>
                <w:rFonts w:eastAsiaTheme="majorEastAsia"/>
                <w:noProof/>
                <w:color w:val="auto"/>
                <w:sz w:val="26"/>
                <w:szCs w:val="26"/>
              </w:rPr>
              <w:t>Основные тенденции социально-экономического развития</w:t>
            </w:r>
            <w:r w:rsidR="0050187A" w:rsidRPr="00A20E22">
              <w:rPr>
                <w:noProof/>
                <w:webHidden/>
                <w:sz w:val="26"/>
                <w:szCs w:val="26"/>
              </w:rPr>
              <w:tab/>
            </w:r>
            <w:r w:rsidR="0050187A" w:rsidRPr="00A20E22">
              <w:rPr>
                <w:noProof/>
                <w:webHidden/>
                <w:sz w:val="26"/>
                <w:szCs w:val="26"/>
              </w:rPr>
              <w:fldChar w:fldCharType="begin"/>
            </w:r>
            <w:r w:rsidR="0050187A" w:rsidRPr="00A20E22">
              <w:rPr>
                <w:noProof/>
                <w:webHidden/>
                <w:sz w:val="26"/>
                <w:szCs w:val="26"/>
              </w:rPr>
              <w:instrText xml:space="preserve"> PAGEREF _Toc10912536 \h </w:instrText>
            </w:r>
            <w:r w:rsidR="0050187A" w:rsidRPr="00A20E22">
              <w:rPr>
                <w:noProof/>
                <w:webHidden/>
                <w:sz w:val="26"/>
                <w:szCs w:val="26"/>
              </w:rPr>
            </w:r>
            <w:r w:rsidR="0050187A" w:rsidRPr="00A20E22">
              <w:rPr>
                <w:noProof/>
                <w:webHidden/>
                <w:sz w:val="26"/>
                <w:szCs w:val="26"/>
              </w:rPr>
              <w:fldChar w:fldCharType="separate"/>
            </w:r>
            <w:r w:rsidR="000D7347">
              <w:rPr>
                <w:noProof/>
                <w:webHidden/>
                <w:sz w:val="26"/>
                <w:szCs w:val="26"/>
              </w:rPr>
              <w:t>3</w:t>
            </w:r>
            <w:r w:rsidR="0050187A" w:rsidRPr="00A20E2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50187A" w:rsidRPr="00A20E22" w:rsidRDefault="00515992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10912537" w:history="1">
            <w:r w:rsidR="0050187A" w:rsidRPr="00A20E22">
              <w:rPr>
                <w:rStyle w:val="ac"/>
                <w:rFonts w:eastAsiaTheme="majorEastAsia"/>
                <w:noProof/>
                <w:color w:val="auto"/>
                <w:sz w:val="26"/>
                <w:szCs w:val="26"/>
              </w:rPr>
              <w:t>Реальный сектор экономики</w:t>
            </w:r>
            <w:r w:rsidR="0050187A" w:rsidRPr="00A20E22">
              <w:rPr>
                <w:noProof/>
                <w:webHidden/>
                <w:sz w:val="26"/>
                <w:szCs w:val="26"/>
              </w:rPr>
              <w:tab/>
            </w:r>
            <w:r w:rsidR="0050187A" w:rsidRPr="00A20E22">
              <w:rPr>
                <w:noProof/>
                <w:webHidden/>
                <w:sz w:val="26"/>
                <w:szCs w:val="26"/>
              </w:rPr>
              <w:fldChar w:fldCharType="begin"/>
            </w:r>
            <w:r w:rsidR="0050187A" w:rsidRPr="00A20E22">
              <w:rPr>
                <w:noProof/>
                <w:webHidden/>
                <w:sz w:val="26"/>
                <w:szCs w:val="26"/>
              </w:rPr>
              <w:instrText xml:space="preserve"> PAGEREF _Toc10912537 \h </w:instrText>
            </w:r>
            <w:r w:rsidR="0050187A" w:rsidRPr="00A20E22">
              <w:rPr>
                <w:noProof/>
                <w:webHidden/>
                <w:sz w:val="26"/>
                <w:szCs w:val="26"/>
              </w:rPr>
            </w:r>
            <w:r w:rsidR="0050187A" w:rsidRPr="00A20E22">
              <w:rPr>
                <w:noProof/>
                <w:webHidden/>
                <w:sz w:val="26"/>
                <w:szCs w:val="26"/>
              </w:rPr>
              <w:fldChar w:fldCharType="separate"/>
            </w:r>
            <w:r w:rsidR="000D7347">
              <w:rPr>
                <w:noProof/>
                <w:webHidden/>
                <w:sz w:val="26"/>
                <w:szCs w:val="26"/>
              </w:rPr>
              <w:t>4</w:t>
            </w:r>
            <w:r w:rsidR="0050187A" w:rsidRPr="00A20E2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50187A" w:rsidRPr="00A20E22" w:rsidRDefault="00515992">
          <w:pPr>
            <w:pStyle w:val="2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10912538" w:history="1">
            <w:r w:rsidR="0050187A" w:rsidRPr="00A20E22">
              <w:rPr>
                <w:rStyle w:val="ac"/>
                <w:rFonts w:eastAsiaTheme="majorEastAsia"/>
                <w:noProof/>
                <w:color w:val="auto"/>
                <w:sz w:val="26"/>
                <w:szCs w:val="26"/>
              </w:rPr>
              <w:t>Промышленное производство</w:t>
            </w:r>
            <w:r w:rsidR="0050187A" w:rsidRPr="00A20E22">
              <w:rPr>
                <w:noProof/>
                <w:webHidden/>
                <w:sz w:val="26"/>
                <w:szCs w:val="26"/>
              </w:rPr>
              <w:tab/>
            </w:r>
            <w:r w:rsidR="0050187A" w:rsidRPr="00A20E22">
              <w:rPr>
                <w:noProof/>
                <w:webHidden/>
                <w:sz w:val="26"/>
                <w:szCs w:val="26"/>
              </w:rPr>
              <w:fldChar w:fldCharType="begin"/>
            </w:r>
            <w:r w:rsidR="0050187A" w:rsidRPr="00A20E22">
              <w:rPr>
                <w:noProof/>
                <w:webHidden/>
                <w:sz w:val="26"/>
                <w:szCs w:val="26"/>
              </w:rPr>
              <w:instrText xml:space="preserve"> PAGEREF _Toc10912538 \h </w:instrText>
            </w:r>
            <w:r w:rsidR="0050187A" w:rsidRPr="00A20E22">
              <w:rPr>
                <w:noProof/>
                <w:webHidden/>
                <w:sz w:val="26"/>
                <w:szCs w:val="26"/>
              </w:rPr>
            </w:r>
            <w:r w:rsidR="0050187A" w:rsidRPr="00A20E22">
              <w:rPr>
                <w:noProof/>
                <w:webHidden/>
                <w:sz w:val="26"/>
                <w:szCs w:val="26"/>
              </w:rPr>
              <w:fldChar w:fldCharType="separate"/>
            </w:r>
            <w:r w:rsidR="000D7347">
              <w:rPr>
                <w:noProof/>
                <w:webHidden/>
                <w:sz w:val="26"/>
                <w:szCs w:val="26"/>
              </w:rPr>
              <w:t>4</w:t>
            </w:r>
            <w:r w:rsidR="0050187A" w:rsidRPr="00A20E2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50187A" w:rsidRPr="00A20E22" w:rsidRDefault="00515992">
          <w:pPr>
            <w:pStyle w:val="2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10912539" w:history="1">
            <w:r w:rsidR="0050187A" w:rsidRPr="00A20E22">
              <w:rPr>
                <w:rStyle w:val="ac"/>
                <w:rFonts w:eastAsiaTheme="majorEastAsia"/>
                <w:noProof/>
                <w:color w:val="auto"/>
                <w:sz w:val="26"/>
                <w:szCs w:val="26"/>
              </w:rPr>
              <w:t>Сельское хозяйство</w:t>
            </w:r>
            <w:r w:rsidR="0050187A" w:rsidRPr="00A20E22">
              <w:rPr>
                <w:noProof/>
                <w:webHidden/>
                <w:sz w:val="26"/>
                <w:szCs w:val="26"/>
              </w:rPr>
              <w:tab/>
            </w:r>
            <w:r w:rsidR="0050187A" w:rsidRPr="00A20E22">
              <w:rPr>
                <w:noProof/>
                <w:webHidden/>
                <w:sz w:val="26"/>
                <w:szCs w:val="26"/>
              </w:rPr>
              <w:fldChar w:fldCharType="begin"/>
            </w:r>
            <w:r w:rsidR="0050187A" w:rsidRPr="00A20E22">
              <w:rPr>
                <w:noProof/>
                <w:webHidden/>
                <w:sz w:val="26"/>
                <w:szCs w:val="26"/>
              </w:rPr>
              <w:instrText xml:space="preserve"> PAGEREF _Toc10912539 \h </w:instrText>
            </w:r>
            <w:r w:rsidR="0050187A" w:rsidRPr="00A20E22">
              <w:rPr>
                <w:noProof/>
                <w:webHidden/>
                <w:sz w:val="26"/>
                <w:szCs w:val="26"/>
              </w:rPr>
            </w:r>
            <w:r w:rsidR="0050187A" w:rsidRPr="00A20E22">
              <w:rPr>
                <w:noProof/>
                <w:webHidden/>
                <w:sz w:val="26"/>
                <w:szCs w:val="26"/>
              </w:rPr>
              <w:fldChar w:fldCharType="separate"/>
            </w:r>
            <w:r w:rsidR="000D7347">
              <w:rPr>
                <w:noProof/>
                <w:webHidden/>
                <w:sz w:val="26"/>
                <w:szCs w:val="26"/>
              </w:rPr>
              <w:t>7</w:t>
            </w:r>
            <w:r w:rsidR="0050187A" w:rsidRPr="00A20E2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50187A" w:rsidRPr="00A20E22" w:rsidRDefault="00515992">
          <w:pPr>
            <w:pStyle w:val="2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10912540" w:history="1">
            <w:r w:rsidR="0050187A" w:rsidRPr="00A20E22">
              <w:rPr>
                <w:rStyle w:val="ac"/>
                <w:rFonts w:eastAsiaTheme="majorEastAsia"/>
                <w:noProof/>
                <w:color w:val="auto"/>
                <w:sz w:val="26"/>
                <w:szCs w:val="26"/>
              </w:rPr>
              <w:t>Строительство</w:t>
            </w:r>
            <w:r w:rsidR="0050187A" w:rsidRPr="00A20E22">
              <w:rPr>
                <w:noProof/>
                <w:webHidden/>
                <w:sz w:val="26"/>
                <w:szCs w:val="26"/>
              </w:rPr>
              <w:tab/>
            </w:r>
            <w:r w:rsidR="0050187A" w:rsidRPr="00A20E22">
              <w:rPr>
                <w:noProof/>
                <w:webHidden/>
                <w:sz w:val="26"/>
                <w:szCs w:val="26"/>
              </w:rPr>
              <w:fldChar w:fldCharType="begin"/>
            </w:r>
            <w:r w:rsidR="0050187A" w:rsidRPr="00A20E22">
              <w:rPr>
                <w:noProof/>
                <w:webHidden/>
                <w:sz w:val="26"/>
                <w:szCs w:val="26"/>
              </w:rPr>
              <w:instrText xml:space="preserve"> PAGEREF _Toc10912540 \h </w:instrText>
            </w:r>
            <w:r w:rsidR="0050187A" w:rsidRPr="00A20E22">
              <w:rPr>
                <w:noProof/>
                <w:webHidden/>
                <w:sz w:val="26"/>
                <w:szCs w:val="26"/>
              </w:rPr>
            </w:r>
            <w:r w:rsidR="0050187A" w:rsidRPr="00A20E22">
              <w:rPr>
                <w:noProof/>
                <w:webHidden/>
                <w:sz w:val="26"/>
                <w:szCs w:val="26"/>
              </w:rPr>
              <w:fldChar w:fldCharType="separate"/>
            </w:r>
            <w:r w:rsidR="000D7347">
              <w:rPr>
                <w:noProof/>
                <w:webHidden/>
                <w:sz w:val="26"/>
                <w:szCs w:val="26"/>
              </w:rPr>
              <w:t>7</w:t>
            </w:r>
            <w:r w:rsidR="0050187A" w:rsidRPr="00A20E2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50187A" w:rsidRPr="00A20E22" w:rsidRDefault="00515992">
          <w:pPr>
            <w:pStyle w:val="2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10912541" w:history="1">
            <w:r w:rsidR="0050187A" w:rsidRPr="00A20E22">
              <w:rPr>
                <w:rStyle w:val="ac"/>
                <w:rFonts w:eastAsiaTheme="majorEastAsia"/>
                <w:noProof/>
                <w:color w:val="auto"/>
                <w:sz w:val="26"/>
                <w:szCs w:val="26"/>
              </w:rPr>
              <w:t>Дорожное хозяйство</w:t>
            </w:r>
            <w:r w:rsidR="0050187A" w:rsidRPr="00A20E22">
              <w:rPr>
                <w:noProof/>
                <w:webHidden/>
                <w:sz w:val="26"/>
                <w:szCs w:val="26"/>
              </w:rPr>
              <w:tab/>
            </w:r>
            <w:r w:rsidR="0050187A" w:rsidRPr="00A20E22">
              <w:rPr>
                <w:noProof/>
                <w:webHidden/>
                <w:sz w:val="26"/>
                <w:szCs w:val="26"/>
              </w:rPr>
              <w:fldChar w:fldCharType="begin"/>
            </w:r>
            <w:r w:rsidR="0050187A" w:rsidRPr="00A20E22">
              <w:rPr>
                <w:noProof/>
                <w:webHidden/>
                <w:sz w:val="26"/>
                <w:szCs w:val="26"/>
              </w:rPr>
              <w:instrText xml:space="preserve"> PAGEREF _Toc10912541 \h </w:instrText>
            </w:r>
            <w:r w:rsidR="0050187A" w:rsidRPr="00A20E22">
              <w:rPr>
                <w:noProof/>
                <w:webHidden/>
                <w:sz w:val="26"/>
                <w:szCs w:val="26"/>
              </w:rPr>
            </w:r>
            <w:r w:rsidR="0050187A" w:rsidRPr="00A20E22">
              <w:rPr>
                <w:noProof/>
                <w:webHidden/>
                <w:sz w:val="26"/>
                <w:szCs w:val="26"/>
              </w:rPr>
              <w:fldChar w:fldCharType="separate"/>
            </w:r>
            <w:r w:rsidR="000D7347">
              <w:rPr>
                <w:noProof/>
                <w:webHidden/>
                <w:sz w:val="26"/>
                <w:szCs w:val="26"/>
              </w:rPr>
              <w:t>9</w:t>
            </w:r>
            <w:r w:rsidR="0050187A" w:rsidRPr="00A20E2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50187A" w:rsidRPr="00A20E22" w:rsidRDefault="00515992">
          <w:pPr>
            <w:pStyle w:val="2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10912542" w:history="1">
            <w:r w:rsidR="0050187A" w:rsidRPr="00A20E22">
              <w:rPr>
                <w:rStyle w:val="ac"/>
                <w:rFonts w:eastAsiaTheme="majorEastAsia"/>
                <w:noProof/>
                <w:color w:val="auto"/>
                <w:sz w:val="26"/>
                <w:szCs w:val="26"/>
              </w:rPr>
              <w:t>Транспорт</w:t>
            </w:r>
            <w:r w:rsidR="0050187A" w:rsidRPr="00A20E22">
              <w:rPr>
                <w:noProof/>
                <w:webHidden/>
                <w:sz w:val="26"/>
                <w:szCs w:val="26"/>
              </w:rPr>
              <w:tab/>
            </w:r>
            <w:r w:rsidR="0050187A" w:rsidRPr="00A20E22">
              <w:rPr>
                <w:noProof/>
                <w:webHidden/>
                <w:sz w:val="26"/>
                <w:szCs w:val="26"/>
              </w:rPr>
              <w:fldChar w:fldCharType="begin"/>
            </w:r>
            <w:r w:rsidR="0050187A" w:rsidRPr="00A20E22">
              <w:rPr>
                <w:noProof/>
                <w:webHidden/>
                <w:sz w:val="26"/>
                <w:szCs w:val="26"/>
              </w:rPr>
              <w:instrText xml:space="preserve"> PAGEREF _Toc10912542 \h </w:instrText>
            </w:r>
            <w:r w:rsidR="0050187A" w:rsidRPr="00A20E22">
              <w:rPr>
                <w:noProof/>
                <w:webHidden/>
                <w:sz w:val="26"/>
                <w:szCs w:val="26"/>
              </w:rPr>
            </w:r>
            <w:r w:rsidR="0050187A" w:rsidRPr="00A20E22">
              <w:rPr>
                <w:noProof/>
                <w:webHidden/>
                <w:sz w:val="26"/>
                <w:szCs w:val="26"/>
              </w:rPr>
              <w:fldChar w:fldCharType="separate"/>
            </w:r>
            <w:r w:rsidR="000D7347">
              <w:rPr>
                <w:noProof/>
                <w:webHidden/>
                <w:sz w:val="26"/>
                <w:szCs w:val="26"/>
              </w:rPr>
              <w:t>9</w:t>
            </w:r>
            <w:r w:rsidR="0050187A" w:rsidRPr="00A20E2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50187A" w:rsidRPr="00A20E22" w:rsidRDefault="00515992">
          <w:pPr>
            <w:pStyle w:val="2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10912543" w:history="1">
            <w:r w:rsidR="0050187A" w:rsidRPr="00A20E22">
              <w:rPr>
                <w:rStyle w:val="ac"/>
                <w:rFonts w:eastAsiaTheme="majorEastAsia"/>
                <w:noProof/>
                <w:color w:val="auto"/>
                <w:sz w:val="26"/>
                <w:szCs w:val="26"/>
              </w:rPr>
              <w:t>Информационное общество</w:t>
            </w:r>
            <w:r w:rsidR="0050187A" w:rsidRPr="00A20E22">
              <w:rPr>
                <w:noProof/>
                <w:webHidden/>
                <w:sz w:val="26"/>
                <w:szCs w:val="26"/>
              </w:rPr>
              <w:tab/>
            </w:r>
            <w:r w:rsidR="0050187A" w:rsidRPr="00A20E22">
              <w:rPr>
                <w:noProof/>
                <w:webHidden/>
                <w:sz w:val="26"/>
                <w:szCs w:val="26"/>
              </w:rPr>
              <w:fldChar w:fldCharType="begin"/>
            </w:r>
            <w:r w:rsidR="0050187A" w:rsidRPr="00A20E22">
              <w:rPr>
                <w:noProof/>
                <w:webHidden/>
                <w:sz w:val="26"/>
                <w:szCs w:val="26"/>
              </w:rPr>
              <w:instrText xml:space="preserve"> PAGEREF _Toc10912543 \h </w:instrText>
            </w:r>
            <w:r w:rsidR="0050187A" w:rsidRPr="00A20E22">
              <w:rPr>
                <w:noProof/>
                <w:webHidden/>
                <w:sz w:val="26"/>
                <w:szCs w:val="26"/>
              </w:rPr>
            </w:r>
            <w:r w:rsidR="0050187A" w:rsidRPr="00A20E22">
              <w:rPr>
                <w:noProof/>
                <w:webHidden/>
                <w:sz w:val="26"/>
                <w:szCs w:val="26"/>
              </w:rPr>
              <w:fldChar w:fldCharType="separate"/>
            </w:r>
            <w:r w:rsidR="000D7347">
              <w:rPr>
                <w:noProof/>
                <w:webHidden/>
                <w:sz w:val="26"/>
                <w:szCs w:val="26"/>
              </w:rPr>
              <w:t>10</w:t>
            </w:r>
            <w:r w:rsidR="0050187A" w:rsidRPr="00A20E2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50187A" w:rsidRPr="00A20E22" w:rsidRDefault="00515992">
          <w:pPr>
            <w:pStyle w:val="2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10912544" w:history="1">
            <w:r w:rsidR="0050187A" w:rsidRPr="00A20E22">
              <w:rPr>
                <w:rStyle w:val="ac"/>
                <w:rFonts w:eastAsiaTheme="majorEastAsia"/>
                <w:noProof/>
                <w:color w:val="auto"/>
                <w:sz w:val="26"/>
                <w:szCs w:val="26"/>
              </w:rPr>
              <w:t>Жилищно-коммунальный комплекс</w:t>
            </w:r>
            <w:r w:rsidR="0050187A" w:rsidRPr="00A20E22">
              <w:rPr>
                <w:noProof/>
                <w:webHidden/>
                <w:sz w:val="26"/>
                <w:szCs w:val="26"/>
              </w:rPr>
              <w:tab/>
            </w:r>
            <w:r w:rsidR="0050187A" w:rsidRPr="00A20E22">
              <w:rPr>
                <w:noProof/>
                <w:webHidden/>
                <w:sz w:val="26"/>
                <w:szCs w:val="26"/>
              </w:rPr>
              <w:fldChar w:fldCharType="begin"/>
            </w:r>
            <w:r w:rsidR="0050187A" w:rsidRPr="00A20E22">
              <w:rPr>
                <w:noProof/>
                <w:webHidden/>
                <w:sz w:val="26"/>
                <w:szCs w:val="26"/>
              </w:rPr>
              <w:instrText xml:space="preserve"> PAGEREF _Toc10912544 \h </w:instrText>
            </w:r>
            <w:r w:rsidR="0050187A" w:rsidRPr="00A20E22">
              <w:rPr>
                <w:noProof/>
                <w:webHidden/>
                <w:sz w:val="26"/>
                <w:szCs w:val="26"/>
              </w:rPr>
            </w:r>
            <w:r w:rsidR="0050187A" w:rsidRPr="00A20E22">
              <w:rPr>
                <w:noProof/>
                <w:webHidden/>
                <w:sz w:val="26"/>
                <w:szCs w:val="26"/>
              </w:rPr>
              <w:fldChar w:fldCharType="separate"/>
            </w:r>
            <w:r w:rsidR="000D7347">
              <w:rPr>
                <w:noProof/>
                <w:webHidden/>
                <w:sz w:val="26"/>
                <w:szCs w:val="26"/>
              </w:rPr>
              <w:t>11</w:t>
            </w:r>
            <w:r w:rsidR="0050187A" w:rsidRPr="00A20E2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50187A" w:rsidRPr="00A20E22" w:rsidRDefault="00515992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10912545" w:history="1">
            <w:r w:rsidR="0050187A" w:rsidRPr="00A20E22">
              <w:rPr>
                <w:rStyle w:val="ac"/>
                <w:rFonts w:eastAsiaTheme="majorEastAsia"/>
                <w:noProof/>
                <w:color w:val="auto"/>
                <w:sz w:val="26"/>
                <w:szCs w:val="26"/>
              </w:rPr>
              <w:t>Малое предпринимательство</w:t>
            </w:r>
            <w:r w:rsidR="0050187A" w:rsidRPr="00A20E22">
              <w:rPr>
                <w:noProof/>
                <w:webHidden/>
                <w:sz w:val="26"/>
                <w:szCs w:val="26"/>
              </w:rPr>
              <w:tab/>
            </w:r>
            <w:r w:rsidR="0050187A" w:rsidRPr="00A20E22">
              <w:rPr>
                <w:noProof/>
                <w:webHidden/>
                <w:sz w:val="26"/>
                <w:szCs w:val="26"/>
              </w:rPr>
              <w:fldChar w:fldCharType="begin"/>
            </w:r>
            <w:r w:rsidR="0050187A" w:rsidRPr="00A20E22">
              <w:rPr>
                <w:noProof/>
                <w:webHidden/>
                <w:sz w:val="26"/>
                <w:szCs w:val="26"/>
              </w:rPr>
              <w:instrText xml:space="preserve"> PAGEREF _Toc10912545 \h </w:instrText>
            </w:r>
            <w:r w:rsidR="0050187A" w:rsidRPr="00A20E22">
              <w:rPr>
                <w:noProof/>
                <w:webHidden/>
                <w:sz w:val="26"/>
                <w:szCs w:val="26"/>
              </w:rPr>
            </w:r>
            <w:r w:rsidR="0050187A" w:rsidRPr="00A20E22">
              <w:rPr>
                <w:noProof/>
                <w:webHidden/>
                <w:sz w:val="26"/>
                <w:szCs w:val="26"/>
              </w:rPr>
              <w:fldChar w:fldCharType="separate"/>
            </w:r>
            <w:r w:rsidR="000D7347">
              <w:rPr>
                <w:noProof/>
                <w:webHidden/>
                <w:sz w:val="26"/>
                <w:szCs w:val="26"/>
              </w:rPr>
              <w:t>13</w:t>
            </w:r>
            <w:r w:rsidR="0050187A" w:rsidRPr="00A20E2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50187A" w:rsidRPr="00A20E22" w:rsidRDefault="00515992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10912546" w:history="1">
            <w:r w:rsidR="0050187A" w:rsidRPr="00A20E22">
              <w:rPr>
                <w:rStyle w:val="ac"/>
                <w:rFonts w:eastAsiaTheme="majorEastAsia"/>
                <w:noProof/>
                <w:color w:val="auto"/>
                <w:sz w:val="26"/>
                <w:szCs w:val="26"/>
              </w:rPr>
              <w:t>Инвестиции</w:t>
            </w:r>
            <w:r w:rsidR="0050187A" w:rsidRPr="00A20E22">
              <w:rPr>
                <w:noProof/>
                <w:webHidden/>
                <w:sz w:val="26"/>
                <w:szCs w:val="26"/>
              </w:rPr>
              <w:tab/>
            </w:r>
            <w:r w:rsidR="0050187A" w:rsidRPr="00A20E22">
              <w:rPr>
                <w:noProof/>
                <w:webHidden/>
                <w:sz w:val="26"/>
                <w:szCs w:val="26"/>
              </w:rPr>
              <w:fldChar w:fldCharType="begin"/>
            </w:r>
            <w:r w:rsidR="0050187A" w:rsidRPr="00A20E22">
              <w:rPr>
                <w:noProof/>
                <w:webHidden/>
                <w:sz w:val="26"/>
                <w:szCs w:val="26"/>
              </w:rPr>
              <w:instrText xml:space="preserve"> PAGEREF _Toc10912546 \h </w:instrText>
            </w:r>
            <w:r w:rsidR="0050187A" w:rsidRPr="00A20E22">
              <w:rPr>
                <w:noProof/>
                <w:webHidden/>
                <w:sz w:val="26"/>
                <w:szCs w:val="26"/>
              </w:rPr>
            </w:r>
            <w:r w:rsidR="0050187A" w:rsidRPr="00A20E22">
              <w:rPr>
                <w:noProof/>
                <w:webHidden/>
                <w:sz w:val="26"/>
                <w:szCs w:val="26"/>
              </w:rPr>
              <w:fldChar w:fldCharType="separate"/>
            </w:r>
            <w:r w:rsidR="000D7347">
              <w:rPr>
                <w:noProof/>
                <w:webHidden/>
                <w:sz w:val="26"/>
                <w:szCs w:val="26"/>
              </w:rPr>
              <w:t>15</w:t>
            </w:r>
            <w:r w:rsidR="0050187A" w:rsidRPr="00A20E2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50187A" w:rsidRPr="00A20E22" w:rsidRDefault="00515992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10912547" w:history="1">
            <w:r w:rsidR="0050187A" w:rsidRPr="00A20E22">
              <w:rPr>
                <w:rStyle w:val="ac"/>
                <w:rFonts w:eastAsiaTheme="majorEastAsia"/>
                <w:noProof/>
                <w:color w:val="auto"/>
                <w:sz w:val="26"/>
                <w:szCs w:val="26"/>
              </w:rPr>
              <w:t>Инновации</w:t>
            </w:r>
            <w:r w:rsidR="0050187A" w:rsidRPr="00A20E22">
              <w:rPr>
                <w:noProof/>
                <w:webHidden/>
                <w:sz w:val="26"/>
                <w:szCs w:val="26"/>
              </w:rPr>
              <w:tab/>
            </w:r>
            <w:r w:rsidR="0050187A" w:rsidRPr="00A20E22">
              <w:rPr>
                <w:noProof/>
                <w:webHidden/>
                <w:sz w:val="26"/>
                <w:szCs w:val="26"/>
              </w:rPr>
              <w:fldChar w:fldCharType="begin"/>
            </w:r>
            <w:r w:rsidR="0050187A" w:rsidRPr="00A20E22">
              <w:rPr>
                <w:noProof/>
                <w:webHidden/>
                <w:sz w:val="26"/>
                <w:szCs w:val="26"/>
              </w:rPr>
              <w:instrText xml:space="preserve"> PAGEREF _Toc10912547 \h </w:instrText>
            </w:r>
            <w:r w:rsidR="0050187A" w:rsidRPr="00A20E22">
              <w:rPr>
                <w:noProof/>
                <w:webHidden/>
                <w:sz w:val="26"/>
                <w:szCs w:val="26"/>
              </w:rPr>
            </w:r>
            <w:r w:rsidR="0050187A" w:rsidRPr="00A20E22">
              <w:rPr>
                <w:noProof/>
                <w:webHidden/>
                <w:sz w:val="26"/>
                <w:szCs w:val="26"/>
              </w:rPr>
              <w:fldChar w:fldCharType="separate"/>
            </w:r>
            <w:r w:rsidR="000D7347">
              <w:rPr>
                <w:noProof/>
                <w:webHidden/>
                <w:sz w:val="26"/>
                <w:szCs w:val="26"/>
              </w:rPr>
              <w:t>16</w:t>
            </w:r>
            <w:r w:rsidR="0050187A" w:rsidRPr="00A20E2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50187A" w:rsidRPr="00A20E22" w:rsidRDefault="00515992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10912548" w:history="1">
            <w:r w:rsidR="0050187A" w:rsidRPr="00A20E22">
              <w:rPr>
                <w:rStyle w:val="ac"/>
                <w:rFonts w:eastAsiaTheme="majorEastAsia"/>
                <w:noProof/>
                <w:color w:val="auto"/>
                <w:sz w:val="26"/>
                <w:szCs w:val="26"/>
              </w:rPr>
              <w:t>Бюджетная система</w:t>
            </w:r>
            <w:r w:rsidR="0050187A" w:rsidRPr="00A20E22">
              <w:rPr>
                <w:noProof/>
                <w:webHidden/>
                <w:sz w:val="26"/>
                <w:szCs w:val="26"/>
              </w:rPr>
              <w:tab/>
            </w:r>
            <w:r w:rsidR="0050187A" w:rsidRPr="00A20E22">
              <w:rPr>
                <w:noProof/>
                <w:webHidden/>
                <w:sz w:val="26"/>
                <w:szCs w:val="26"/>
              </w:rPr>
              <w:fldChar w:fldCharType="begin"/>
            </w:r>
            <w:r w:rsidR="0050187A" w:rsidRPr="00A20E22">
              <w:rPr>
                <w:noProof/>
                <w:webHidden/>
                <w:sz w:val="26"/>
                <w:szCs w:val="26"/>
              </w:rPr>
              <w:instrText xml:space="preserve"> PAGEREF _Toc10912548 \h </w:instrText>
            </w:r>
            <w:r w:rsidR="0050187A" w:rsidRPr="00A20E22">
              <w:rPr>
                <w:noProof/>
                <w:webHidden/>
                <w:sz w:val="26"/>
                <w:szCs w:val="26"/>
              </w:rPr>
            </w:r>
            <w:r w:rsidR="0050187A" w:rsidRPr="00A20E22">
              <w:rPr>
                <w:noProof/>
                <w:webHidden/>
                <w:sz w:val="26"/>
                <w:szCs w:val="26"/>
              </w:rPr>
              <w:fldChar w:fldCharType="separate"/>
            </w:r>
            <w:r w:rsidR="000D7347">
              <w:rPr>
                <w:noProof/>
                <w:webHidden/>
                <w:sz w:val="26"/>
                <w:szCs w:val="26"/>
              </w:rPr>
              <w:t>17</w:t>
            </w:r>
            <w:r w:rsidR="0050187A" w:rsidRPr="00A20E2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50187A" w:rsidRPr="00A20E22" w:rsidRDefault="00515992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10912549" w:history="1">
            <w:r w:rsidR="0050187A" w:rsidRPr="00A20E22">
              <w:rPr>
                <w:rStyle w:val="ac"/>
                <w:rFonts w:eastAsiaTheme="majorEastAsia"/>
                <w:noProof/>
                <w:color w:val="auto"/>
                <w:sz w:val="26"/>
                <w:szCs w:val="26"/>
              </w:rPr>
              <w:t>Уровень жизни населения</w:t>
            </w:r>
            <w:r w:rsidR="0050187A" w:rsidRPr="00A20E22">
              <w:rPr>
                <w:noProof/>
                <w:webHidden/>
                <w:sz w:val="26"/>
                <w:szCs w:val="26"/>
              </w:rPr>
              <w:tab/>
            </w:r>
            <w:r w:rsidR="0050187A" w:rsidRPr="00A20E22">
              <w:rPr>
                <w:noProof/>
                <w:webHidden/>
                <w:sz w:val="26"/>
                <w:szCs w:val="26"/>
              </w:rPr>
              <w:fldChar w:fldCharType="begin"/>
            </w:r>
            <w:r w:rsidR="0050187A" w:rsidRPr="00A20E22">
              <w:rPr>
                <w:noProof/>
                <w:webHidden/>
                <w:sz w:val="26"/>
                <w:szCs w:val="26"/>
              </w:rPr>
              <w:instrText xml:space="preserve"> PAGEREF _Toc10912549 \h </w:instrText>
            </w:r>
            <w:r w:rsidR="0050187A" w:rsidRPr="00A20E22">
              <w:rPr>
                <w:noProof/>
                <w:webHidden/>
                <w:sz w:val="26"/>
                <w:szCs w:val="26"/>
              </w:rPr>
            </w:r>
            <w:r w:rsidR="0050187A" w:rsidRPr="00A20E22">
              <w:rPr>
                <w:noProof/>
                <w:webHidden/>
                <w:sz w:val="26"/>
                <w:szCs w:val="26"/>
              </w:rPr>
              <w:fldChar w:fldCharType="separate"/>
            </w:r>
            <w:r w:rsidR="000D7347">
              <w:rPr>
                <w:noProof/>
                <w:webHidden/>
                <w:sz w:val="26"/>
                <w:szCs w:val="26"/>
              </w:rPr>
              <w:t>18</w:t>
            </w:r>
            <w:r w:rsidR="0050187A" w:rsidRPr="00A20E2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50187A" w:rsidRPr="00A20E22" w:rsidRDefault="00515992">
          <w:pPr>
            <w:pStyle w:val="2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10912550" w:history="1">
            <w:r w:rsidR="0050187A" w:rsidRPr="00A20E22">
              <w:rPr>
                <w:rStyle w:val="ac"/>
                <w:rFonts w:eastAsiaTheme="majorEastAsia"/>
                <w:noProof/>
                <w:color w:val="auto"/>
                <w:sz w:val="26"/>
                <w:szCs w:val="26"/>
              </w:rPr>
              <w:t>Пенсионное обеспечение</w:t>
            </w:r>
            <w:r w:rsidR="0050187A" w:rsidRPr="00A20E22">
              <w:rPr>
                <w:noProof/>
                <w:webHidden/>
                <w:sz w:val="26"/>
                <w:szCs w:val="26"/>
              </w:rPr>
              <w:tab/>
            </w:r>
          </w:hyperlink>
          <w:r w:rsidR="003E4425">
            <w:rPr>
              <w:noProof/>
              <w:sz w:val="26"/>
              <w:szCs w:val="26"/>
            </w:rPr>
            <w:t>21</w:t>
          </w:r>
        </w:p>
        <w:p w:rsidR="0050187A" w:rsidRPr="00A20E22" w:rsidRDefault="00515992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10912551" w:history="1">
            <w:r w:rsidR="0050187A" w:rsidRPr="00A20E22">
              <w:rPr>
                <w:rStyle w:val="ac"/>
                <w:rFonts w:eastAsiaTheme="majorEastAsia"/>
                <w:noProof/>
                <w:color w:val="auto"/>
                <w:sz w:val="26"/>
                <w:szCs w:val="26"/>
              </w:rPr>
              <w:t>Потребительский рынок</w:t>
            </w:r>
            <w:r w:rsidR="0050187A" w:rsidRPr="00A20E22">
              <w:rPr>
                <w:noProof/>
                <w:webHidden/>
                <w:sz w:val="26"/>
                <w:szCs w:val="26"/>
              </w:rPr>
              <w:tab/>
            </w:r>
            <w:r w:rsidR="0050187A" w:rsidRPr="00A20E22">
              <w:rPr>
                <w:noProof/>
                <w:webHidden/>
                <w:sz w:val="26"/>
                <w:szCs w:val="26"/>
              </w:rPr>
              <w:fldChar w:fldCharType="begin"/>
            </w:r>
            <w:r w:rsidR="0050187A" w:rsidRPr="00A20E22">
              <w:rPr>
                <w:noProof/>
                <w:webHidden/>
                <w:sz w:val="26"/>
                <w:szCs w:val="26"/>
              </w:rPr>
              <w:instrText xml:space="preserve"> PAGEREF _Toc10912551 \h </w:instrText>
            </w:r>
            <w:r w:rsidR="0050187A" w:rsidRPr="00A20E22">
              <w:rPr>
                <w:noProof/>
                <w:webHidden/>
                <w:sz w:val="26"/>
                <w:szCs w:val="26"/>
              </w:rPr>
            </w:r>
            <w:r w:rsidR="0050187A" w:rsidRPr="00A20E22">
              <w:rPr>
                <w:noProof/>
                <w:webHidden/>
                <w:sz w:val="26"/>
                <w:szCs w:val="26"/>
              </w:rPr>
              <w:fldChar w:fldCharType="separate"/>
            </w:r>
            <w:r w:rsidR="000D7347">
              <w:rPr>
                <w:noProof/>
                <w:webHidden/>
                <w:sz w:val="26"/>
                <w:szCs w:val="26"/>
              </w:rPr>
              <w:t>23</w:t>
            </w:r>
            <w:r w:rsidR="0050187A" w:rsidRPr="00A20E2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50187A" w:rsidRPr="00A20E22" w:rsidRDefault="00515992">
          <w:pPr>
            <w:pStyle w:val="2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10912552" w:history="1">
            <w:r w:rsidR="0050187A" w:rsidRPr="00A20E22">
              <w:rPr>
                <w:rStyle w:val="ac"/>
                <w:rFonts w:eastAsiaTheme="majorEastAsia"/>
                <w:noProof/>
                <w:color w:val="auto"/>
                <w:sz w:val="26"/>
                <w:szCs w:val="26"/>
              </w:rPr>
              <w:t>Инфляция и цены</w:t>
            </w:r>
            <w:r w:rsidR="0050187A" w:rsidRPr="00A20E22">
              <w:rPr>
                <w:noProof/>
                <w:webHidden/>
                <w:sz w:val="26"/>
                <w:szCs w:val="26"/>
              </w:rPr>
              <w:tab/>
            </w:r>
            <w:r w:rsidR="0050187A" w:rsidRPr="00A20E22">
              <w:rPr>
                <w:noProof/>
                <w:webHidden/>
                <w:sz w:val="26"/>
                <w:szCs w:val="26"/>
              </w:rPr>
              <w:fldChar w:fldCharType="begin"/>
            </w:r>
            <w:r w:rsidR="0050187A" w:rsidRPr="00A20E22">
              <w:rPr>
                <w:noProof/>
                <w:webHidden/>
                <w:sz w:val="26"/>
                <w:szCs w:val="26"/>
              </w:rPr>
              <w:instrText xml:space="preserve"> PAGEREF _Toc10912552 \h </w:instrText>
            </w:r>
            <w:r w:rsidR="0050187A" w:rsidRPr="00A20E22">
              <w:rPr>
                <w:noProof/>
                <w:webHidden/>
                <w:sz w:val="26"/>
                <w:szCs w:val="26"/>
              </w:rPr>
            </w:r>
            <w:r w:rsidR="0050187A" w:rsidRPr="00A20E22">
              <w:rPr>
                <w:noProof/>
                <w:webHidden/>
                <w:sz w:val="26"/>
                <w:szCs w:val="26"/>
              </w:rPr>
              <w:fldChar w:fldCharType="separate"/>
            </w:r>
            <w:r w:rsidR="000D7347">
              <w:rPr>
                <w:noProof/>
                <w:webHidden/>
                <w:sz w:val="26"/>
                <w:szCs w:val="26"/>
              </w:rPr>
              <w:t>23</w:t>
            </w:r>
            <w:r w:rsidR="0050187A" w:rsidRPr="00A20E2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50187A" w:rsidRPr="00A20E22" w:rsidRDefault="00515992">
          <w:pPr>
            <w:pStyle w:val="2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10912553" w:history="1">
            <w:r w:rsidR="0050187A" w:rsidRPr="00A20E22">
              <w:rPr>
                <w:rStyle w:val="ac"/>
                <w:rFonts w:eastAsiaTheme="majorEastAsia"/>
                <w:noProof/>
                <w:color w:val="auto"/>
                <w:sz w:val="26"/>
                <w:szCs w:val="26"/>
              </w:rPr>
              <w:t>Торговля</w:t>
            </w:r>
            <w:r w:rsidR="0050187A" w:rsidRPr="00A20E22">
              <w:rPr>
                <w:noProof/>
                <w:webHidden/>
                <w:sz w:val="26"/>
                <w:szCs w:val="26"/>
              </w:rPr>
              <w:tab/>
            </w:r>
            <w:r w:rsidR="0050187A" w:rsidRPr="00A20E22">
              <w:rPr>
                <w:noProof/>
                <w:webHidden/>
                <w:sz w:val="26"/>
                <w:szCs w:val="26"/>
              </w:rPr>
              <w:fldChar w:fldCharType="begin"/>
            </w:r>
            <w:r w:rsidR="0050187A" w:rsidRPr="00A20E22">
              <w:rPr>
                <w:noProof/>
                <w:webHidden/>
                <w:sz w:val="26"/>
                <w:szCs w:val="26"/>
              </w:rPr>
              <w:instrText xml:space="preserve"> PAGEREF _Toc10912553 \h </w:instrText>
            </w:r>
            <w:r w:rsidR="0050187A" w:rsidRPr="00A20E22">
              <w:rPr>
                <w:noProof/>
                <w:webHidden/>
                <w:sz w:val="26"/>
                <w:szCs w:val="26"/>
              </w:rPr>
            </w:r>
            <w:r w:rsidR="0050187A" w:rsidRPr="00A20E22">
              <w:rPr>
                <w:noProof/>
                <w:webHidden/>
                <w:sz w:val="26"/>
                <w:szCs w:val="26"/>
              </w:rPr>
              <w:fldChar w:fldCharType="separate"/>
            </w:r>
            <w:r w:rsidR="000D7347">
              <w:rPr>
                <w:noProof/>
                <w:webHidden/>
                <w:sz w:val="26"/>
                <w:szCs w:val="26"/>
              </w:rPr>
              <w:t>24</w:t>
            </w:r>
            <w:r w:rsidR="0050187A" w:rsidRPr="00A20E2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50187A" w:rsidRPr="00A20E22" w:rsidRDefault="00515992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10912554" w:history="1">
            <w:r w:rsidR="0050187A" w:rsidRPr="00A20E22">
              <w:rPr>
                <w:rStyle w:val="ac"/>
                <w:rFonts w:eastAsiaTheme="majorEastAsia"/>
                <w:noProof/>
                <w:color w:val="auto"/>
                <w:sz w:val="26"/>
                <w:szCs w:val="26"/>
              </w:rPr>
              <w:t>Демография</w:t>
            </w:r>
            <w:r w:rsidR="0050187A" w:rsidRPr="00A20E22">
              <w:rPr>
                <w:noProof/>
                <w:webHidden/>
                <w:sz w:val="26"/>
                <w:szCs w:val="26"/>
              </w:rPr>
              <w:tab/>
            </w:r>
            <w:r w:rsidR="0050187A" w:rsidRPr="00A20E22">
              <w:rPr>
                <w:noProof/>
                <w:webHidden/>
                <w:sz w:val="26"/>
                <w:szCs w:val="26"/>
              </w:rPr>
              <w:fldChar w:fldCharType="begin"/>
            </w:r>
            <w:r w:rsidR="0050187A" w:rsidRPr="00A20E22">
              <w:rPr>
                <w:noProof/>
                <w:webHidden/>
                <w:sz w:val="26"/>
                <w:szCs w:val="26"/>
              </w:rPr>
              <w:instrText xml:space="preserve"> PAGEREF _Toc10912554 \h </w:instrText>
            </w:r>
            <w:r w:rsidR="0050187A" w:rsidRPr="00A20E22">
              <w:rPr>
                <w:noProof/>
                <w:webHidden/>
                <w:sz w:val="26"/>
                <w:szCs w:val="26"/>
              </w:rPr>
            </w:r>
            <w:r w:rsidR="0050187A" w:rsidRPr="00A20E22">
              <w:rPr>
                <w:noProof/>
                <w:webHidden/>
                <w:sz w:val="26"/>
                <w:szCs w:val="26"/>
              </w:rPr>
              <w:fldChar w:fldCharType="separate"/>
            </w:r>
            <w:r w:rsidR="000D7347">
              <w:rPr>
                <w:noProof/>
                <w:webHidden/>
                <w:sz w:val="26"/>
                <w:szCs w:val="26"/>
              </w:rPr>
              <w:t>25</w:t>
            </w:r>
            <w:r w:rsidR="0050187A" w:rsidRPr="00A20E2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50187A" w:rsidRPr="00A20E22" w:rsidRDefault="00515992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10912555" w:history="1">
            <w:r w:rsidR="0050187A" w:rsidRPr="00A20E22">
              <w:rPr>
                <w:rStyle w:val="ac"/>
                <w:rFonts w:eastAsiaTheme="majorEastAsia"/>
                <w:noProof/>
                <w:color w:val="auto"/>
                <w:sz w:val="26"/>
                <w:szCs w:val="26"/>
              </w:rPr>
              <w:t>Рынок труда</w:t>
            </w:r>
            <w:r w:rsidR="0050187A" w:rsidRPr="00A20E22">
              <w:rPr>
                <w:noProof/>
                <w:webHidden/>
                <w:sz w:val="26"/>
                <w:szCs w:val="26"/>
              </w:rPr>
              <w:tab/>
            </w:r>
            <w:r w:rsidR="0050187A" w:rsidRPr="00A20E22">
              <w:rPr>
                <w:noProof/>
                <w:webHidden/>
                <w:sz w:val="26"/>
                <w:szCs w:val="26"/>
              </w:rPr>
              <w:fldChar w:fldCharType="begin"/>
            </w:r>
            <w:r w:rsidR="0050187A" w:rsidRPr="00A20E22">
              <w:rPr>
                <w:noProof/>
                <w:webHidden/>
                <w:sz w:val="26"/>
                <w:szCs w:val="26"/>
              </w:rPr>
              <w:instrText xml:space="preserve"> PAGEREF _Toc10912555 \h </w:instrText>
            </w:r>
            <w:r w:rsidR="0050187A" w:rsidRPr="00A20E22">
              <w:rPr>
                <w:noProof/>
                <w:webHidden/>
                <w:sz w:val="26"/>
                <w:szCs w:val="26"/>
              </w:rPr>
            </w:r>
            <w:r w:rsidR="0050187A" w:rsidRPr="00A20E22">
              <w:rPr>
                <w:noProof/>
                <w:webHidden/>
                <w:sz w:val="26"/>
                <w:szCs w:val="26"/>
              </w:rPr>
              <w:fldChar w:fldCharType="separate"/>
            </w:r>
            <w:r w:rsidR="000D7347">
              <w:rPr>
                <w:noProof/>
                <w:webHidden/>
                <w:sz w:val="26"/>
                <w:szCs w:val="26"/>
              </w:rPr>
              <w:t>26</w:t>
            </w:r>
            <w:r w:rsidR="0050187A" w:rsidRPr="00A20E2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50187A" w:rsidRPr="00A20E22" w:rsidRDefault="00515992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10912556" w:history="1">
            <w:r w:rsidR="0050187A" w:rsidRPr="00A20E22">
              <w:rPr>
                <w:rStyle w:val="ac"/>
                <w:rFonts w:eastAsiaTheme="majorEastAsia"/>
                <w:noProof/>
                <w:color w:val="auto"/>
                <w:sz w:val="26"/>
                <w:szCs w:val="26"/>
              </w:rPr>
              <w:t>Развитие социальной сферы</w:t>
            </w:r>
            <w:r w:rsidR="0050187A" w:rsidRPr="00A20E22">
              <w:rPr>
                <w:noProof/>
                <w:webHidden/>
                <w:sz w:val="26"/>
                <w:szCs w:val="26"/>
              </w:rPr>
              <w:tab/>
            </w:r>
            <w:r w:rsidR="0050187A" w:rsidRPr="00A20E22">
              <w:rPr>
                <w:noProof/>
                <w:webHidden/>
                <w:sz w:val="26"/>
                <w:szCs w:val="26"/>
              </w:rPr>
              <w:fldChar w:fldCharType="begin"/>
            </w:r>
            <w:r w:rsidR="0050187A" w:rsidRPr="00A20E22">
              <w:rPr>
                <w:noProof/>
                <w:webHidden/>
                <w:sz w:val="26"/>
                <w:szCs w:val="26"/>
              </w:rPr>
              <w:instrText xml:space="preserve"> PAGEREF _Toc10912556 \h </w:instrText>
            </w:r>
            <w:r w:rsidR="0050187A" w:rsidRPr="00A20E22">
              <w:rPr>
                <w:noProof/>
                <w:webHidden/>
                <w:sz w:val="26"/>
                <w:szCs w:val="26"/>
              </w:rPr>
            </w:r>
            <w:r w:rsidR="0050187A" w:rsidRPr="00A20E22">
              <w:rPr>
                <w:noProof/>
                <w:webHidden/>
                <w:sz w:val="26"/>
                <w:szCs w:val="26"/>
              </w:rPr>
              <w:fldChar w:fldCharType="separate"/>
            </w:r>
            <w:r w:rsidR="000D7347">
              <w:rPr>
                <w:noProof/>
                <w:webHidden/>
                <w:sz w:val="26"/>
                <w:szCs w:val="26"/>
              </w:rPr>
              <w:t>26</w:t>
            </w:r>
            <w:r w:rsidR="0050187A" w:rsidRPr="00A20E2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50187A" w:rsidRPr="00A20E22" w:rsidRDefault="00515992">
          <w:pPr>
            <w:pStyle w:val="2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10912557" w:history="1">
            <w:r w:rsidR="0050187A" w:rsidRPr="00A20E22">
              <w:rPr>
                <w:rStyle w:val="ac"/>
                <w:rFonts w:eastAsiaTheme="majorEastAsia"/>
                <w:noProof/>
                <w:color w:val="auto"/>
                <w:sz w:val="26"/>
                <w:szCs w:val="26"/>
              </w:rPr>
              <w:t>Образование</w:t>
            </w:r>
            <w:r w:rsidR="0050187A" w:rsidRPr="00A20E22">
              <w:rPr>
                <w:noProof/>
                <w:webHidden/>
                <w:sz w:val="26"/>
                <w:szCs w:val="26"/>
              </w:rPr>
              <w:tab/>
            </w:r>
            <w:r w:rsidR="0050187A" w:rsidRPr="00A20E22">
              <w:rPr>
                <w:noProof/>
                <w:webHidden/>
                <w:sz w:val="26"/>
                <w:szCs w:val="26"/>
              </w:rPr>
              <w:fldChar w:fldCharType="begin"/>
            </w:r>
            <w:r w:rsidR="0050187A" w:rsidRPr="00A20E22">
              <w:rPr>
                <w:noProof/>
                <w:webHidden/>
                <w:sz w:val="26"/>
                <w:szCs w:val="26"/>
              </w:rPr>
              <w:instrText xml:space="preserve"> PAGEREF _Toc10912557 \h </w:instrText>
            </w:r>
            <w:r w:rsidR="0050187A" w:rsidRPr="00A20E22">
              <w:rPr>
                <w:noProof/>
                <w:webHidden/>
                <w:sz w:val="26"/>
                <w:szCs w:val="26"/>
              </w:rPr>
            </w:r>
            <w:r w:rsidR="0050187A" w:rsidRPr="00A20E22">
              <w:rPr>
                <w:noProof/>
                <w:webHidden/>
                <w:sz w:val="26"/>
                <w:szCs w:val="26"/>
              </w:rPr>
              <w:fldChar w:fldCharType="separate"/>
            </w:r>
            <w:r w:rsidR="000D7347">
              <w:rPr>
                <w:noProof/>
                <w:webHidden/>
                <w:sz w:val="26"/>
                <w:szCs w:val="26"/>
              </w:rPr>
              <w:t>27</w:t>
            </w:r>
            <w:r w:rsidR="0050187A" w:rsidRPr="00A20E2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50187A" w:rsidRPr="00A20E22" w:rsidRDefault="00515992">
          <w:pPr>
            <w:pStyle w:val="2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10912558" w:history="1">
            <w:r w:rsidR="0050187A" w:rsidRPr="00A20E22">
              <w:rPr>
                <w:rStyle w:val="ac"/>
                <w:rFonts w:eastAsiaTheme="majorEastAsia"/>
                <w:noProof/>
                <w:color w:val="auto"/>
                <w:sz w:val="26"/>
                <w:szCs w:val="26"/>
              </w:rPr>
              <w:t>Здравоохранение</w:t>
            </w:r>
            <w:r w:rsidR="0050187A" w:rsidRPr="00A20E22">
              <w:rPr>
                <w:noProof/>
                <w:webHidden/>
                <w:sz w:val="26"/>
                <w:szCs w:val="26"/>
              </w:rPr>
              <w:tab/>
            </w:r>
            <w:r w:rsidR="0050187A" w:rsidRPr="00A20E22">
              <w:rPr>
                <w:noProof/>
                <w:webHidden/>
                <w:sz w:val="26"/>
                <w:szCs w:val="26"/>
              </w:rPr>
              <w:fldChar w:fldCharType="begin"/>
            </w:r>
            <w:r w:rsidR="0050187A" w:rsidRPr="00A20E22">
              <w:rPr>
                <w:noProof/>
                <w:webHidden/>
                <w:sz w:val="26"/>
                <w:szCs w:val="26"/>
              </w:rPr>
              <w:instrText xml:space="preserve"> PAGEREF _Toc10912558 \h </w:instrText>
            </w:r>
            <w:r w:rsidR="0050187A" w:rsidRPr="00A20E22">
              <w:rPr>
                <w:noProof/>
                <w:webHidden/>
                <w:sz w:val="26"/>
                <w:szCs w:val="26"/>
              </w:rPr>
            </w:r>
            <w:r w:rsidR="0050187A" w:rsidRPr="00A20E22">
              <w:rPr>
                <w:noProof/>
                <w:webHidden/>
                <w:sz w:val="26"/>
                <w:szCs w:val="26"/>
              </w:rPr>
              <w:fldChar w:fldCharType="separate"/>
            </w:r>
            <w:r w:rsidR="000D7347">
              <w:rPr>
                <w:noProof/>
                <w:webHidden/>
                <w:sz w:val="26"/>
                <w:szCs w:val="26"/>
              </w:rPr>
              <w:t>30</w:t>
            </w:r>
            <w:r w:rsidR="0050187A" w:rsidRPr="00A20E2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50187A" w:rsidRPr="00A20E22" w:rsidRDefault="00515992">
          <w:pPr>
            <w:pStyle w:val="2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10912559" w:history="1">
            <w:r w:rsidR="0050187A" w:rsidRPr="00A20E22">
              <w:rPr>
                <w:rStyle w:val="ac"/>
                <w:rFonts w:eastAsiaTheme="majorEastAsia"/>
                <w:noProof/>
                <w:color w:val="auto"/>
                <w:sz w:val="26"/>
                <w:szCs w:val="26"/>
              </w:rPr>
              <w:t>Культура</w:t>
            </w:r>
            <w:r w:rsidR="0050187A" w:rsidRPr="00A20E22">
              <w:rPr>
                <w:noProof/>
                <w:webHidden/>
                <w:sz w:val="26"/>
                <w:szCs w:val="26"/>
              </w:rPr>
              <w:tab/>
            </w:r>
            <w:r w:rsidR="0050187A" w:rsidRPr="00A20E22">
              <w:rPr>
                <w:noProof/>
                <w:webHidden/>
                <w:sz w:val="26"/>
                <w:szCs w:val="26"/>
              </w:rPr>
              <w:fldChar w:fldCharType="begin"/>
            </w:r>
            <w:r w:rsidR="0050187A" w:rsidRPr="00A20E22">
              <w:rPr>
                <w:noProof/>
                <w:webHidden/>
                <w:sz w:val="26"/>
                <w:szCs w:val="26"/>
              </w:rPr>
              <w:instrText xml:space="preserve"> PAGEREF _Toc10912559 \h </w:instrText>
            </w:r>
            <w:r w:rsidR="0050187A" w:rsidRPr="00A20E22">
              <w:rPr>
                <w:noProof/>
                <w:webHidden/>
                <w:sz w:val="26"/>
                <w:szCs w:val="26"/>
              </w:rPr>
            </w:r>
            <w:r w:rsidR="0050187A" w:rsidRPr="00A20E22">
              <w:rPr>
                <w:noProof/>
                <w:webHidden/>
                <w:sz w:val="26"/>
                <w:szCs w:val="26"/>
              </w:rPr>
              <w:fldChar w:fldCharType="separate"/>
            </w:r>
            <w:r w:rsidR="000D7347">
              <w:rPr>
                <w:noProof/>
                <w:webHidden/>
                <w:sz w:val="26"/>
                <w:szCs w:val="26"/>
              </w:rPr>
              <w:t>34</w:t>
            </w:r>
            <w:r w:rsidR="0050187A" w:rsidRPr="00A20E2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50187A" w:rsidRPr="00A20E22" w:rsidRDefault="00515992">
          <w:pPr>
            <w:pStyle w:val="2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10912560" w:history="1">
            <w:r w:rsidR="0050187A" w:rsidRPr="00A20E22">
              <w:rPr>
                <w:rStyle w:val="ac"/>
                <w:rFonts w:eastAsiaTheme="majorEastAsia"/>
                <w:noProof/>
                <w:color w:val="auto"/>
                <w:sz w:val="26"/>
                <w:szCs w:val="26"/>
              </w:rPr>
              <w:t>Физическая культура и спорт</w:t>
            </w:r>
            <w:r w:rsidR="0050187A" w:rsidRPr="00A20E22">
              <w:rPr>
                <w:noProof/>
                <w:webHidden/>
                <w:sz w:val="26"/>
                <w:szCs w:val="26"/>
              </w:rPr>
              <w:tab/>
            </w:r>
            <w:r w:rsidR="0050187A" w:rsidRPr="00A20E22">
              <w:rPr>
                <w:noProof/>
                <w:webHidden/>
                <w:sz w:val="26"/>
                <w:szCs w:val="26"/>
              </w:rPr>
              <w:fldChar w:fldCharType="begin"/>
            </w:r>
            <w:r w:rsidR="0050187A" w:rsidRPr="00A20E22">
              <w:rPr>
                <w:noProof/>
                <w:webHidden/>
                <w:sz w:val="26"/>
                <w:szCs w:val="26"/>
              </w:rPr>
              <w:instrText xml:space="preserve"> PAGEREF _Toc10912560 \h </w:instrText>
            </w:r>
            <w:r w:rsidR="0050187A" w:rsidRPr="00A20E22">
              <w:rPr>
                <w:noProof/>
                <w:webHidden/>
                <w:sz w:val="26"/>
                <w:szCs w:val="26"/>
              </w:rPr>
            </w:r>
            <w:r w:rsidR="0050187A" w:rsidRPr="00A20E22">
              <w:rPr>
                <w:noProof/>
                <w:webHidden/>
                <w:sz w:val="26"/>
                <w:szCs w:val="26"/>
              </w:rPr>
              <w:fldChar w:fldCharType="separate"/>
            </w:r>
            <w:r w:rsidR="000D7347">
              <w:rPr>
                <w:noProof/>
                <w:webHidden/>
                <w:sz w:val="26"/>
                <w:szCs w:val="26"/>
              </w:rPr>
              <w:t>36</w:t>
            </w:r>
            <w:r w:rsidR="0050187A" w:rsidRPr="00A20E2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50187A" w:rsidRPr="00A20E22" w:rsidRDefault="00515992">
          <w:pPr>
            <w:pStyle w:val="2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10912561" w:history="1">
            <w:r w:rsidR="0050187A" w:rsidRPr="00A20E22">
              <w:rPr>
                <w:rStyle w:val="ac"/>
                <w:rFonts w:eastAsiaTheme="majorEastAsia"/>
                <w:noProof/>
                <w:color w:val="auto"/>
                <w:sz w:val="26"/>
                <w:szCs w:val="26"/>
              </w:rPr>
              <w:t>Социальная защита населения</w:t>
            </w:r>
            <w:r w:rsidR="0050187A" w:rsidRPr="00A20E22">
              <w:rPr>
                <w:noProof/>
                <w:webHidden/>
                <w:sz w:val="26"/>
                <w:szCs w:val="26"/>
              </w:rPr>
              <w:tab/>
            </w:r>
            <w:r w:rsidR="0050187A" w:rsidRPr="00A20E22">
              <w:rPr>
                <w:noProof/>
                <w:webHidden/>
                <w:sz w:val="26"/>
                <w:szCs w:val="26"/>
              </w:rPr>
              <w:fldChar w:fldCharType="begin"/>
            </w:r>
            <w:r w:rsidR="0050187A" w:rsidRPr="00A20E22">
              <w:rPr>
                <w:noProof/>
                <w:webHidden/>
                <w:sz w:val="26"/>
                <w:szCs w:val="26"/>
              </w:rPr>
              <w:instrText xml:space="preserve"> PAGEREF _Toc10912561 \h </w:instrText>
            </w:r>
            <w:r w:rsidR="0050187A" w:rsidRPr="00A20E22">
              <w:rPr>
                <w:noProof/>
                <w:webHidden/>
                <w:sz w:val="26"/>
                <w:szCs w:val="26"/>
              </w:rPr>
            </w:r>
            <w:r w:rsidR="0050187A" w:rsidRPr="00A20E22">
              <w:rPr>
                <w:noProof/>
                <w:webHidden/>
                <w:sz w:val="26"/>
                <w:szCs w:val="26"/>
              </w:rPr>
              <w:fldChar w:fldCharType="separate"/>
            </w:r>
            <w:r w:rsidR="000D7347">
              <w:rPr>
                <w:noProof/>
                <w:webHidden/>
                <w:sz w:val="26"/>
                <w:szCs w:val="26"/>
              </w:rPr>
              <w:t>38</w:t>
            </w:r>
            <w:r w:rsidR="0050187A" w:rsidRPr="00A20E2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50187A" w:rsidRPr="00A20E22" w:rsidRDefault="00515992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10912562" w:history="1">
            <w:r w:rsidR="0050187A" w:rsidRPr="00A20E22">
              <w:rPr>
                <w:rStyle w:val="ac"/>
                <w:rFonts w:eastAsiaTheme="majorEastAsia"/>
                <w:noProof/>
                <w:color w:val="auto"/>
                <w:sz w:val="26"/>
                <w:szCs w:val="26"/>
              </w:rPr>
              <w:t>Внешнеэкономическая деятельность</w:t>
            </w:r>
            <w:r w:rsidR="0050187A" w:rsidRPr="00A20E22">
              <w:rPr>
                <w:noProof/>
                <w:webHidden/>
                <w:sz w:val="26"/>
                <w:szCs w:val="26"/>
              </w:rPr>
              <w:tab/>
            </w:r>
            <w:r w:rsidR="0050187A" w:rsidRPr="00A20E22">
              <w:rPr>
                <w:noProof/>
                <w:webHidden/>
                <w:sz w:val="26"/>
                <w:szCs w:val="26"/>
              </w:rPr>
              <w:fldChar w:fldCharType="begin"/>
            </w:r>
            <w:r w:rsidR="0050187A" w:rsidRPr="00A20E22">
              <w:rPr>
                <w:noProof/>
                <w:webHidden/>
                <w:sz w:val="26"/>
                <w:szCs w:val="26"/>
              </w:rPr>
              <w:instrText xml:space="preserve"> PAGEREF _Toc10912562 \h </w:instrText>
            </w:r>
            <w:r w:rsidR="0050187A" w:rsidRPr="00A20E22">
              <w:rPr>
                <w:noProof/>
                <w:webHidden/>
                <w:sz w:val="26"/>
                <w:szCs w:val="26"/>
              </w:rPr>
            </w:r>
            <w:r w:rsidR="0050187A" w:rsidRPr="00A20E22">
              <w:rPr>
                <w:noProof/>
                <w:webHidden/>
                <w:sz w:val="26"/>
                <w:szCs w:val="26"/>
              </w:rPr>
              <w:fldChar w:fldCharType="separate"/>
            </w:r>
            <w:r w:rsidR="000D7347">
              <w:rPr>
                <w:noProof/>
                <w:webHidden/>
                <w:sz w:val="26"/>
                <w:szCs w:val="26"/>
              </w:rPr>
              <w:t>40</w:t>
            </w:r>
            <w:r w:rsidR="0050187A" w:rsidRPr="00A20E2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50187A" w:rsidRPr="00A20E22" w:rsidRDefault="00515992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10912563" w:history="1">
            <w:r w:rsidR="0050187A" w:rsidRPr="00A20E22">
              <w:rPr>
                <w:rStyle w:val="ac"/>
                <w:rFonts w:eastAsiaTheme="majorEastAsia"/>
                <w:noProof/>
                <w:color w:val="auto"/>
                <w:sz w:val="26"/>
                <w:szCs w:val="26"/>
              </w:rPr>
              <w:t>Охрана окружающей среды</w:t>
            </w:r>
            <w:r w:rsidR="0050187A" w:rsidRPr="00A20E22">
              <w:rPr>
                <w:noProof/>
                <w:webHidden/>
                <w:sz w:val="26"/>
                <w:szCs w:val="26"/>
              </w:rPr>
              <w:tab/>
            </w:r>
            <w:r w:rsidR="0050187A" w:rsidRPr="00A20E22">
              <w:rPr>
                <w:noProof/>
                <w:webHidden/>
                <w:sz w:val="26"/>
                <w:szCs w:val="26"/>
              </w:rPr>
              <w:fldChar w:fldCharType="begin"/>
            </w:r>
            <w:r w:rsidR="0050187A" w:rsidRPr="00A20E22">
              <w:rPr>
                <w:noProof/>
                <w:webHidden/>
                <w:sz w:val="26"/>
                <w:szCs w:val="26"/>
              </w:rPr>
              <w:instrText xml:space="preserve"> PAGEREF _Toc10912563 \h </w:instrText>
            </w:r>
            <w:r w:rsidR="0050187A" w:rsidRPr="00A20E22">
              <w:rPr>
                <w:noProof/>
                <w:webHidden/>
                <w:sz w:val="26"/>
                <w:szCs w:val="26"/>
              </w:rPr>
            </w:r>
            <w:r w:rsidR="0050187A" w:rsidRPr="00A20E22">
              <w:rPr>
                <w:noProof/>
                <w:webHidden/>
                <w:sz w:val="26"/>
                <w:szCs w:val="26"/>
              </w:rPr>
              <w:fldChar w:fldCharType="separate"/>
            </w:r>
            <w:r w:rsidR="000D7347">
              <w:rPr>
                <w:noProof/>
                <w:webHidden/>
                <w:sz w:val="26"/>
                <w:szCs w:val="26"/>
              </w:rPr>
              <w:t>41</w:t>
            </w:r>
            <w:r w:rsidR="0050187A" w:rsidRPr="00A20E2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1B58EA" w:rsidRPr="00A20E22" w:rsidRDefault="001B58EA">
          <w:r w:rsidRPr="00A20E22">
            <w:rPr>
              <w:b/>
              <w:bCs/>
              <w:sz w:val="26"/>
              <w:szCs w:val="26"/>
            </w:rPr>
            <w:fldChar w:fldCharType="end"/>
          </w:r>
        </w:p>
      </w:sdtContent>
    </w:sdt>
    <w:p w:rsidR="00E90788" w:rsidRPr="00A20E22" w:rsidRDefault="00E90788">
      <w:pPr>
        <w:spacing w:after="200" w:line="276" w:lineRule="auto"/>
        <w:rPr>
          <w:sz w:val="26"/>
          <w:szCs w:val="26"/>
        </w:rPr>
      </w:pPr>
      <w:r w:rsidRPr="00A20E22">
        <w:rPr>
          <w:sz w:val="26"/>
          <w:szCs w:val="26"/>
        </w:rPr>
        <w:br w:type="page"/>
      </w:r>
    </w:p>
    <w:p w:rsidR="00D74CC2" w:rsidRPr="00A20E22" w:rsidRDefault="00F34899" w:rsidP="00276818">
      <w:pPr>
        <w:jc w:val="center"/>
        <w:rPr>
          <w:sz w:val="26"/>
          <w:szCs w:val="26"/>
        </w:rPr>
      </w:pPr>
      <w:r w:rsidRPr="00A20E22">
        <w:rPr>
          <w:sz w:val="26"/>
          <w:szCs w:val="26"/>
        </w:rPr>
        <w:lastRenderedPageBreak/>
        <w:t>И</w:t>
      </w:r>
      <w:r w:rsidR="00D74CC2" w:rsidRPr="00A20E22">
        <w:rPr>
          <w:sz w:val="26"/>
          <w:szCs w:val="26"/>
        </w:rPr>
        <w:t>тоги</w:t>
      </w:r>
    </w:p>
    <w:p w:rsidR="00D74CC2" w:rsidRPr="00A20E22" w:rsidRDefault="00D74CC2" w:rsidP="00276818">
      <w:pPr>
        <w:jc w:val="center"/>
        <w:rPr>
          <w:sz w:val="26"/>
          <w:szCs w:val="26"/>
        </w:rPr>
      </w:pPr>
      <w:r w:rsidRPr="00A20E22">
        <w:rPr>
          <w:sz w:val="26"/>
          <w:szCs w:val="26"/>
        </w:rPr>
        <w:t>социально-экономического развития</w:t>
      </w:r>
    </w:p>
    <w:p w:rsidR="00D74CC2" w:rsidRPr="00A20E22" w:rsidRDefault="00D74CC2" w:rsidP="00276818">
      <w:pPr>
        <w:jc w:val="center"/>
        <w:rPr>
          <w:sz w:val="26"/>
          <w:szCs w:val="26"/>
        </w:rPr>
      </w:pPr>
      <w:r w:rsidRPr="00A20E22">
        <w:rPr>
          <w:sz w:val="26"/>
          <w:szCs w:val="26"/>
        </w:rPr>
        <w:t>Ханты-Мансийского автономного округа – Югры за январь-</w:t>
      </w:r>
      <w:r w:rsidR="004E1006" w:rsidRPr="00A20E22">
        <w:rPr>
          <w:sz w:val="26"/>
          <w:szCs w:val="26"/>
        </w:rPr>
        <w:t>июнь</w:t>
      </w:r>
      <w:r w:rsidR="00935206" w:rsidRPr="00A20E22">
        <w:rPr>
          <w:sz w:val="26"/>
          <w:szCs w:val="26"/>
        </w:rPr>
        <w:t xml:space="preserve"> 2019</w:t>
      </w:r>
      <w:r w:rsidRPr="00A20E22">
        <w:rPr>
          <w:sz w:val="26"/>
          <w:szCs w:val="26"/>
        </w:rPr>
        <w:t xml:space="preserve"> года</w:t>
      </w:r>
    </w:p>
    <w:p w:rsidR="00D74CC2" w:rsidRPr="00A20E22" w:rsidRDefault="00D74CC2" w:rsidP="00D74CC2">
      <w:pPr>
        <w:jc w:val="center"/>
        <w:rPr>
          <w:sz w:val="26"/>
          <w:szCs w:val="26"/>
        </w:rPr>
      </w:pPr>
    </w:p>
    <w:p w:rsidR="00D74CC2" w:rsidRPr="00A20E22" w:rsidRDefault="00D74CC2" w:rsidP="001B58EA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eastAsiaTheme="majorEastAsia" w:hAnsi="Times New Roman"/>
          <w:b w:val="0"/>
          <w:sz w:val="26"/>
          <w:szCs w:val="26"/>
        </w:rPr>
      </w:pPr>
      <w:bookmarkStart w:id="1" w:name="_Toc10912536"/>
      <w:r w:rsidRPr="00A20E22">
        <w:rPr>
          <w:rFonts w:ascii="Times New Roman" w:eastAsiaTheme="majorEastAsia" w:hAnsi="Times New Roman"/>
          <w:b w:val="0"/>
          <w:sz w:val="26"/>
          <w:szCs w:val="26"/>
        </w:rPr>
        <w:t>Основные тенденции социально-экономического развития</w:t>
      </w:r>
      <w:bookmarkEnd w:id="1"/>
    </w:p>
    <w:p w:rsidR="00D74CC2" w:rsidRPr="00A20E22" w:rsidRDefault="00D74CC2" w:rsidP="00A71476">
      <w:pPr>
        <w:jc w:val="both"/>
        <w:rPr>
          <w:sz w:val="26"/>
          <w:szCs w:val="26"/>
        </w:rPr>
      </w:pPr>
    </w:p>
    <w:p w:rsidR="00A71476" w:rsidRPr="00A20E22" w:rsidRDefault="00A71476" w:rsidP="00A71476">
      <w:pPr>
        <w:widowControl w:val="0"/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>Социально-экономическое положение Ханты</w:t>
      </w:r>
      <w:r w:rsidRPr="00672874">
        <w:rPr>
          <w:sz w:val="26"/>
          <w:szCs w:val="26"/>
        </w:rPr>
        <w:t xml:space="preserve">-Мансийского автономного округа – Югры (далее – автономный округ, Югра) </w:t>
      </w:r>
      <w:r w:rsidR="00A3343A" w:rsidRPr="00672874">
        <w:rPr>
          <w:sz w:val="26"/>
          <w:szCs w:val="26"/>
        </w:rPr>
        <w:t xml:space="preserve">в январе-июне </w:t>
      </w:r>
      <w:r w:rsidRPr="00672874">
        <w:rPr>
          <w:sz w:val="26"/>
          <w:szCs w:val="26"/>
        </w:rPr>
        <w:t>2019</w:t>
      </w:r>
      <w:r w:rsidRPr="00A20E22">
        <w:rPr>
          <w:sz w:val="26"/>
          <w:szCs w:val="26"/>
        </w:rPr>
        <w:t xml:space="preserve"> года характеризуется макроэкономическими показателями, включенными в таблицу 1.</w:t>
      </w:r>
    </w:p>
    <w:p w:rsidR="00A71476" w:rsidRPr="00A20E22" w:rsidRDefault="00A71476" w:rsidP="00D74CC2">
      <w:pPr>
        <w:widowControl w:val="0"/>
        <w:ind w:firstLine="709"/>
        <w:jc w:val="right"/>
        <w:rPr>
          <w:sz w:val="26"/>
          <w:szCs w:val="26"/>
        </w:rPr>
      </w:pPr>
    </w:p>
    <w:p w:rsidR="00D74CC2" w:rsidRPr="00A20E22" w:rsidRDefault="00D74CC2" w:rsidP="00D74CC2">
      <w:pPr>
        <w:widowControl w:val="0"/>
        <w:ind w:firstLine="709"/>
        <w:jc w:val="right"/>
        <w:rPr>
          <w:sz w:val="26"/>
          <w:szCs w:val="26"/>
        </w:rPr>
      </w:pPr>
      <w:r w:rsidRPr="00A20E22">
        <w:rPr>
          <w:sz w:val="26"/>
          <w:szCs w:val="26"/>
        </w:rPr>
        <w:t>Таблица 1</w:t>
      </w:r>
    </w:p>
    <w:p w:rsidR="00D74CC2" w:rsidRPr="00A20E22" w:rsidRDefault="00D74CC2" w:rsidP="00C61BF5">
      <w:pPr>
        <w:widowControl w:val="0"/>
        <w:jc w:val="center"/>
        <w:rPr>
          <w:sz w:val="26"/>
          <w:szCs w:val="26"/>
        </w:rPr>
      </w:pPr>
      <w:r w:rsidRPr="00A20E22">
        <w:rPr>
          <w:sz w:val="26"/>
          <w:szCs w:val="26"/>
        </w:rPr>
        <w:t>Динамика социально-экономического развития</w:t>
      </w:r>
    </w:p>
    <w:p w:rsidR="00F14EF6" w:rsidRDefault="00C44073" w:rsidP="00CF3DCB">
      <w:pPr>
        <w:widowControl w:val="0"/>
        <w:ind w:firstLine="709"/>
        <w:jc w:val="right"/>
        <w:rPr>
          <w:rFonts w:eastAsiaTheme="majorEastAsia"/>
        </w:rPr>
      </w:pPr>
      <w:r>
        <w:rPr>
          <w:sz w:val="26"/>
          <w:szCs w:val="26"/>
        </w:rPr>
        <w:t>в</w:t>
      </w:r>
      <w:r w:rsidRPr="00C44073">
        <w:rPr>
          <w:sz w:val="26"/>
          <w:szCs w:val="26"/>
        </w:rPr>
        <w:t xml:space="preserve"> процентах к соответствующему периоду предыдущего года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9"/>
        <w:gridCol w:w="1134"/>
        <w:gridCol w:w="1134"/>
        <w:gridCol w:w="993"/>
        <w:gridCol w:w="992"/>
        <w:gridCol w:w="1134"/>
      </w:tblGrid>
      <w:tr w:rsidR="00CF3DCB" w:rsidRPr="00A20E22" w:rsidTr="003E4425">
        <w:trPr>
          <w:cantSplit/>
          <w:tblHeader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DCB" w:rsidRPr="00A20E22" w:rsidRDefault="00CF3DCB" w:rsidP="00A442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Показатель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DCB" w:rsidRPr="00A20E22" w:rsidRDefault="00CF3DCB" w:rsidP="00A442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Российская Федерация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DCB" w:rsidRPr="00A20E22" w:rsidRDefault="00CF3DCB" w:rsidP="00A442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Югра</w:t>
            </w:r>
          </w:p>
        </w:tc>
      </w:tr>
      <w:tr w:rsidR="003E4425" w:rsidRPr="00A20E22" w:rsidTr="003E4425">
        <w:trPr>
          <w:cantSplit/>
          <w:tblHeader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425" w:rsidRPr="00A20E22" w:rsidRDefault="003E4425" w:rsidP="00A44259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425" w:rsidRPr="00A20E22" w:rsidRDefault="003E4425" w:rsidP="00A442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январь-июнь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425" w:rsidRPr="00A20E22" w:rsidRDefault="003E4425" w:rsidP="00A442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январь-июнь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4425" w:rsidRPr="00A20E22" w:rsidRDefault="003E4425" w:rsidP="00A442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год оценка</w:t>
            </w:r>
            <w:r>
              <w:rPr>
                <w:rStyle w:val="a8"/>
                <w:sz w:val="24"/>
                <w:szCs w:val="24"/>
              </w:rPr>
              <w:footnoteReference w:id="1"/>
            </w:r>
          </w:p>
        </w:tc>
      </w:tr>
      <w:tr w:rsidR="00CF3DCB" w:rsidRPr="00A20E22" w:rsidTr="003E4425">
        <w:trPr>
          <w:cantSplit/>
          <w:tblHeader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DCB" w:rsidRPr="00A20E22" w:rsidRDefault="00CF3DCB" w:rsidP="00A44259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DCB" w:rsidRPr="00A20E22" w:rsidRDefault="00CF3DCB" w:rsidP="00A442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DCB" w:rsidRPr="00A20E22" w:rsidRDefault="00CF3DCB" w:rsidP="00A442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2019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DCB" w:rsidRPr="00A20E22" w:rsidRDefault="00CF3DCB" w:rsidP="00A442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DCB" w:rsidRPr="00A20E22" w:rsidRDefault="00CF3DCB" w:rsidP="00A442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2019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CB" w:rsidRPr="00A20E22" w:rsidRDefault="00CF3DCB" w:rsidP="00A442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CF3DCB" w:rsidRPr="00A20E22" w:rsidTr="003E4425">
        <w:trPr>
          <w:cantSplit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DCB" w:rsidRPr="00CF3DCB" w:rsidRDefault="00CF3DCB" w:rsidP="00A4425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3DCB">
              <w:rPr>
                <w:sz w:val="24"/>
                <w:szCs w:val="24"/>
              </w:rPr>
              <w:t>Индекс физического объема промышленного производства,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DCB" w:rsidRPr="00CF3DCB" w:rsidRDefault="00CF3DCB" w:rsidP="00A44259">
            <w:pPr>
              <w:pStyle w:val="a3"/>
              <w:widowControl w:val="0"/>
              <w:rPr>
                <w:rFonts w:ascii="Times New Roman" w:hAnsi="Times New Roman"/>
                <w:b w:val="0"/>
                <w:bCs w:val="0"/>
                <w:sz w:val="24"/>
                <w:szCs w:val="24"/>
                <w:lang w:val="ru-RU"/>
              </w:rPr>
            </w:pPr>
            <w:r w:rsidRPr="00CF3DCB">
              <w:rPr>
                <w:rFonts w:ascii="Times New Roman" w:hAnsi="Times New Roman"/>
                <w:b w:val="0"/>
                <w:bCs w:val="0"/>
                <w:sz w:val="24"/>
                <w:szCs w:val="24"/>
                <w:lang w:val="ru-RU"/>
              </w:rPr>
              <w:t>103,0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DCB" w:rsidRPr="00CF3DCB" w:rsidRDefault="00CF3DCB" w:rsidP="00A44259">
            <w:pPr>
              <w:pStyle w:val="a3"/>
              <w:widowControl w:val="0"/>
              <w:rPr>
                <w:rFonts w:ascii="Times New Roman" w:hAnsi="Times New Roman"/>
                <w:b w:val="0"/>
                <w:bCs w:val="0"/>
                <w:sz w:val="24"/>
                <w:szCs w:val="24"/>
                <w:lang w:val="ru-RU"/>
              </w:rPr>
            </w:pPr>
            <w:r w:rsidRPr="00CF3DCB">
              <w:rPr>
                <w:rFonts w:ascii="Times New Roman" w:hAnsi="Times New Roman"/>
                <w:b w:val="0"/>
                <w:bCs w:val="0"/>
                <w:sz w:val="24"/>
                <w:szCs w:val="24"/>
                <w:lang w:val="ru-RU"/>
              </w:rPr>
              <w:t>102,6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DCB" w:rsidRPr="00CF3DCB" w:rsidRDefault="00CF3DCB" w:rsidP="00A44259">
            <w:pPr>
              <w:widowControl w:val="0"/>
              <w:jc w:val="center"/>
              <w:rPr>
                <w:rFonts w:eastAsia="Arial Unicode MS"/>
                <w:sz w:val="24"/>
                <w:szCs w:val="24"/>
              </w:rPr>
            </w:pPr>
            <w:r w:rsidRPr="00CF3DCB">
              <w:rPr>
                <w:rFonts w:eastAsia="Arial Unicode MS"/>
                <w:sz w:val="24"/>
                <w:szCs w:val="24"/>
              </w:rPr>
              <w:t>99,2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DCB" w:rsidRPr="00CF3DCB" w:rsidRDefault="00CF3DCB" w:rsidP="00A44259">
            <w:pPr>
              <w:widowControl w:val="0"/>
              <w:jc w:val="center"/>
              <w:rPr>
                <w:rFonts w:eastAsia="Arial Unicode MS"/>
                <w:sz w:val="24"/>
                <w:szCs w:val="24"/>
              </w:rPr>
            </w:pPr>
            <w:r w:rsidRPr="00CF3DCB">
              <w:rPr>
                <w:rFonts w:eastAsia="Arial Unicode MS"/>
                <w:sz w:val="24"/>
                <w:szCs w:val="24"/>
              </w:rPr>
              <w:t>100,7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DCB" w:rsidRPr="00CF3DCB" w:rsidRDefault="00CF3DCB" w:rsidP="00A44259">
            <w:pPr>
              <w:widowControl w:val="0"/>
              <w:jc w:val="center"/>
              <w:rPr>
                <w:rFonts w:eastAsia="Arial Unicode MS"/>
                <w:sz w:val="24"/>
                <w:szCs w:val="24"/>
              </w:rPr>
            </w:pPr>
            <w:r w:rsidRPr="00CF3DCB">
              <w:rPr>
                <w:rFonts w:eastAsia="Arial Unicode MS"/>
                <w:sz w:val="24"/>
                <w:szCs w:val="24"/>
              </w:rPr>
              <w:t>100,1</w:t>
            </w:r>
          </w:p>
        </w:tc>
      </w:tr>
      <w:tr w:rsidR="00CF3DCB" w:rsidRPr="00A20E22" w:rsidTr="003E4425">
        <w:trPr>
          <w:cantSplit/>
          <w:trHeight w:val="16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DCB" w:rsidRPr="00CF3DCB" w:rsidRDefault="00CF3DCB" w:rsidP="00A442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F3DCB">
              <w:rPr>
                <w:sz w:val="24"/>
                <w:szCs w:val="24"/>
              </w:rPr>
              <w:t xml:space="preserve">Индекс физического объема инвестиции в основной капитал, %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DCB" w:rsidRPr="00CF3DCB" w:rsidRDefault="00CF3DCB" w:rsidP="00A44259">
            <w:pPr>
              <w:pStyle w:val="a3"/>
              <w:widowControl w:val="0"/>
              <w:rPr>
                <w:rFonts w:ascii="Times New Roman" w:hAnsi="Times New Roman"/>
                <w:b w:val="0"/>
                <w:bCs w:val="0"/>
                <w:sz w:val="24"/>
                <w:szCs w:val="24"/>
                <w:lang w:val="ru-RU"/>
              </w:rPr>
            </w:pPr>
            <w:r w:rsidRPr="00CF3DCB">
              <w:rPr>
                <w:rFonts w:ascii="Times New Roman" w:hAnsi="Times New Roman"/>
                <w:b w:val="0"/>
                <w:bCs w:val="0"/>
                <w:sz w:val="24"/>
                <w:szCs w:val="24"/>
                <w:lang w:val="ru-RU"/>
              </w:rPr>
              <w:t>104,3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DCB" w:rsidRPr="00CF3DCB" w:rsidRDefault="00CF3DCB" w:rsidP="00A44259">
            <w:pPr>
              <w:pStyle w:val="a3"/>
              <w:widowControl w:val="0"/>
              <w:rPr>
                <w:rFonts w:ascii="Times New Roman" w:hAnsi="Times New Roman"/>
                <w:b w:val="0"/>
                <w:bCs w:val="0"/>
                <w:sz w:val="24"/>
                <w:szCs w:val="24"/>
                <w:lang w:val="ru-RU"/>
              </w:rPr>
            </w:pPr>
            <w:r w:rsidRPr="00CF3DCB">
              <w:rPr>
                <w:rFonts w:ascii="Times New Roman" w:hAnsi="Times New Roman"/>
                <w:b w:val="0"/>
                <w:bCs w:val="0"/>
                <w:sz w:val="24"/>
                <w:szCs w:val="24"/>
                <w:lang w:val="ru-RU"/>
              </w:rPr>
              <w:t>100,6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DCB" w:rsidRPr="00CF3DCB" w:rsidRDefault="00CF3DCB" w:rsidP="00A44259">
            <w:pPr>
              <w:widowControl w:val="0"/>
              <w:jc w:val="center"/>
              <w:rPr>
                <w:rFonts w:eastAsia="Arial Unicode MS"/>
                <w:sz w:val="24"/>
                <w:szCs w:val="24"/>
              </w:rPr>
            </w:pPr>
            <w:r w:rsidRPr="00CF3DCB">
              <w:rPr>
                <w:rFonts w:eastAsia="Arial Unicode MS"/>
                <w:sz w:val="24"/>
                <w:szCs w:val="24"/>
              </w:rPr>
              <w:t>107,9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DCB" w:rsidRPr="00CF3DCB" w:rsidRDefault="00CF3DCB" w:rsidP="00A44259">
            <w:pPr>
              <w:widowControl w:val="0"/>
              <w:jc w:val="center"/>
              <w:rPr>
                <w:rFonts w:eastAsia="Arial Unicode MS"/>
                <w:sz w:val="24"/>
                <w:szCs w:val="24"/>
              </w:rPr>
            </w:pPr>
            <w:r w:rsidRPr="00CF3DCB">
              <w:rPr>
                <w:rFonts w:eastAsia="Arial Unicode MS"/>
                <w:sz w:val="24"/>
                <w:szCs w:val="24"/>
              </w:rPr>
              <w:t>92,3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DCB" w:rsidRPr="00CF3DCB" w:rsidRDefault="00CF3DCB" w:rsidP="00A44259">
            <w:pPr>
              <w:widowControl w:val="0"/>
              <w:jc w:val="center"/>
              <w:rPr>
                <w:rFonts w:eastAsia="Arial Unicode MS"/>
                <w:sz w:val="24"/>
                <w:szCs w:val="24"/>
              </w:rPr>
            </w:pPr>
            <w:r w:rsidRPr="00CF3DCB">
              <w:rPr>
                <w:rFonts w:eastAsia="Arial Unicode MS"/>
                <w:sz w:val="24"/>
                <w:szCs w:val="24"/>
              </w:rPr>
              <w:t>100,9</w:t>
            </w:r>
          </w:p>
        </w:tc>
      </w:tr>
      <w:tr w:rsidR="00CF3DCB" w:rsidRPr="00A20E22" w:rsidTr="003E4425">
        <w:trPr>
          <w:cantSplit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DCB" w:rsidRPr="00CF3DCB" w:rsidRDefault="00CF3DCB" w:rsidP="00A442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F3DCB">
              <w:rPr>
                <w:sz w:val="24"/>
                <w:szCs w:val="24"/>
              </w:rPr>
              <w:t>Ввод в действие жилых домов, в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DCB" w:rsidRPr="00CF3DCB" w:rsidRDefault="00CF3DCB" w:rsidP="00A442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3DCB">
              <w:rPr>
                <w:sz w:val="24"/>
                <w:szCs w:val="24"/>
              </w:rPr>
              <w:t>103,8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DCB" w:rsidRPr="00CF3DCB" w:rsidRDefault="00CF3DCB" w:rsidP="00A442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3DCB">
              <w:rPr>
                <w:sz w:val="24"/>
                <w:szCs w:val="24"/>
              </w:rPr>
              <w:t>103,7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DCB" w:rsidRPr="00CF3DCB" w:rsidRDefault="00CF3DCB" w:rsidP="00A442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3DCB">
              <w:rPr>
                <w:sz w:val="24"/>
                <w:szCs w:val="24"/>
              </w:rPr>
              <w:t>90,3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DCB" w:rsidRPr="00CF3DCB" w:rsidRDefault="00CF3DCB" w:rsidP="00A442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3DCB">
              <w:rPr>
                <w:sz w:val="24"/>
                <w:szCs w:val="24"/>
              </w:rPr>
              <w:t>92,3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DCB" w:rsidRPr="00CF3DCB" w:rsidRDefault="00CF3DCB" w:rsidP="00A442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3DCB">
              <w:rPr>
                <w:sz w:val="24"/>
                <w:szCs w:val="24"/>
              </w:rPr>
              <w:t>154,1</w:t>
            </w:r>
          </w:p>
        </w:tc>
      </w:tr>
      <w:tr w:rsidR="00CF3DCB" w:rsidRPr="00A20E22" w:rsidTr="003E4425">
        <w:trPr>
          <w:cantSplit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DCB" w:rsidRPr="00CF3DCB" w:rsidRDefault="00CF3DCB" w:rsidP="00A44259">
            <w:pPr>
              <w:rPr>
                <w:sz w:val="24"/>
                <w:szCs w:val="24"/>
                <w:vertAlign w:val="superscript"/>
              </w:rPr>
            </w:pPr>
            <w:r w:rsidRPr="00CF3DCB">
              <w:rPr>
                <w:sz w:val="24"/>
                <w:szCs w:val="24"/>
              </w:rPr>
              <w:t>Среднедушевые денежные доходы населения,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DCB" w:rsidRPr="00CF3DCB" w:rsidRDefault="00CF3DCB" w:rsidP="00A44259">
            <w:pPr>
              <w:jc w:val="center"/>
              <w:rPr>
                <w:sz w:val="24"/>
                <w:szCs w:val="24"/>
              </w:rPr>
            </w:pPr>
            <w:r w:rsidRPr="00CF3DCB">
              <w:rPr>
                <w:sz w:val="24"/>
                <w:szCs w:val="24"/>
              </w:rPr>
              <w:t>30799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DCB" w:rsidRPr="00CF3DCB" w:rsidRDefault="00CF3DCB" w:rsidP="00A44259">
            <w:pPr>
              <w:jc w:val="center"/>
              <w:rPr>
                <w:sz w:val="24"/>
                <w:szCs w:val="24"/>
              </w:rPr>
            </w:pPr>
            <w:r w:rsidRPr="00CF3DCB">
              <w:rPr>
                <w:sz w:val="24"/>
                <w:szCs w:val="24"/>
              </w:rPr>
              <w:t>32246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DCB" w:rsidRPr="00CF3DCB" w:rsidRDefault="00CF3DCB" w:rsidP="00A44259">
            <w:pPr>
              <w:jc w:val="center"/>
              <w:rPr>
                <w:sz w:val="24"/>
                <w:szCs w:val="24"/>
              </w:rPr>
            </w:pPr>
            <w:r w:rsidRPr="00CF3DCB">
              <w:rPr>
                <w:sz w:val="24"/>
                <w:szCs w:val="24"/>
              </w:rPr>
              <w:t>50298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DCB" w:rsidRPr="00CF3DCB" w:rsidRDefault="00CF3DCB" w:rsidP="00A44259">
            <w:pPr>
              <w:jc w:val="center"/>
              <w:rPr>
                <w:sz w:val="24"/>
                <w:szCs w:val="24"/>
              </w:rPr>
            </w:pPr>
            <w:r w:rsidRPr="00CF3DCB">
              <w:rPr>
                <w:sz w:val="24"/>
                <w:szCs w:val="24"/>
              </w:rPr>
              <w:t>51907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DCB" w:rsidRPr="00CF3DCB" w:rsidRDefault="00CF3DCB" w:rsidP="00A44259">
            <w:pPr>
              <w:jc w:val="center"/>
              <w:rPr>
                <w:sz w:val="24"/>
                <w:szCs w:val="24"/>
              </w:rPr>
            </w:pPr>
            <w:r w:rsidRPr="00CF3DCB">
              <w:rPr>
                <w:sz w:val="24"/>
                <w:szCs w:val="24"/>
              </w:rPr>
              <w:t>52754</w:t>
            </w:r>
          </w:p>
        </w:tc>
      </w:tr>
      <w:tr w:rsidR="00CF3DCB" w:rsidRPr="00A20E22" w:rsidTr="003E4425">
        <w:trPr>
          <w:cantSplit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DCB" w:rsidRPr="00CF3DCB" w:rsidRDefault="00CF3DCB" w:rsidP="00CF3DCB">
            <w:pPr>
              <w:rPr>
                <w:sz w:val="24"/>
                <w:szCs w:val="24"/>
                <w:vertAlign w:val="superscript"/>
              </w:rPr>
            </w:pPr>
            <w:r w:rsidRPr="00CF3DCB">
              <w:rPr>
                <w:sz w:val="24"/>
                <w:szCs w:val="24"/>
              </w:rPr>
              <w:t>Реальные денежные доходы населения</w:t>
            </w:r>
            <w:r w:rsidRPr="00CF3DCB">
              <w:rPr>
                <w:rStyle w:val="a8"/>
                <w:sz w:val="24"/>
                <w:szCs w:val="24"/>
              </w:rPr>
              <w:footnoteReference w:id="2"/>
            </w:r>
            <w:r w:rsidRPr="00CF3DCB">
              <w:rPr>
                <w:sz w:val="24"/>
                <w:szCs w:val="24"/>
              </w:rPr>
              <w:t>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DCB" w:rsidRPr="00CF3DCB" w:rsidRDefault="00CF3DCB" w:rsidP="00A44259">
            <w:pPr>
              <w:jc w:val="center"/>
              <w:rPr>
                <w:sz w:val="24"/>
                <w:szCs w:val="24"/>
              </w:rPr>
            </w:pPr>
            <w:r w:rsidRPr="00CF3DCB">
              <w:rPr>
                <w:sz w:val="24"/>
                <w:szCs w:val="24"/>
              </w:rPr>
              <w:t>102,0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DCB" w:rsidRPr="00CF3DCB" w:rsidRDefault="00CF3DCB" w:rsidP="00A44259">
            <w:pPr>
              <w:jc w:val="center"/>
              <w:rPr>
                <w:sz w:val="24"/>
                <w:szCs w:val="24"/>
              </w:rPr>
            </w:pPr>
            <w:r w:rsidRPr="00CF3DCB">
              <w:rPr>
                <w:sz w:val="24"/>
                <w:szCs w:val="24"/>
              </w:rPr>
              <w:t>99,6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DCB" w:rsidRPr="00CF3DCB" w:rsidRDefault="00CF3DCB" w:rsidP="00A44259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CF3DCB">
              <w:rPr>
                <w:rFonts w:eastAsia="Arial Unicode MS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DCB" w:rsidRPr="00CF3DCB" w:rsidRDefault="00CF3DCB" w:rsidP="00A44259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CF3DCB">
              <w:rPr>
                <w:rFonts w:eastAsia="Arial Unicode MS"/>
                <w:sz w:val="24"/>
                <w:szCs w:val="24"/>
              </w:rPr>
              <w:t>100,5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DCB" w:rsidRPr="00CF3DCB" w:rsidRDefault="00CF3DCB" w:rsidP="00A44259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CF3DCB">
              <w:rPr>
                <w:rFonts w:eastAsia="Arial Unicode MS"/>
                <w:sz w:val="24"/>
                <w:szCs w:val="24"/>
              </w:rPr>
              <w:t>100,0</w:t>
            </w:r>
          </w:p>
        </w:tc>
      </w:tr>
      <w:tr w:rsidR="00CF3DCB" w:rsidRPr="00A20E22" w:rsidTr="003E4425">
        <w:trPr>
          <w:cantSplit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DCB" w:rsidRPr="00CF3DCB" w:rsidRDefault="00CF3DCB" w:rsidP="00A44259">
            <w:pPr>
              <w:rPr>
                <w:sz w:val="24"/>
                <w:szCs w:val="24"/>
                <w:vertAlign w:val="superscript"/>
              </w:rPr>
            </w:pPr>
            <w:r w:rsidRPr="00CF3DCB">
              <w:rPr>
                <w:sz w:val="24"/>
                <w:szCs w:val="24"/>
              </w:rPr>
              <w:t>Номинальная начисленная среднемесячная заработная плата 1 работника, в рублях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DCB" w:rsidRPr="00CF3DCB" w:rsidRDefault="00CF3DCB" w:rsidP="00A44259">
            <w:pPr>
              <w:jc w:val="center"/>
              <w:rPr>
                <w:sz w:val="24"/>
                <w:szCs w:val="24"/>
              </w:rPr>
            </w:pPr>
            <w:r w:rsidRPr="00CF3DCB">
              <w:rPr>
                <w:sz w:val="24"/>
                <w:szCs w:val="24"/>
              </w:rPr>
              <w:t>42555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DCB" w:rsidRPr="00CF3DCB" w:rsidRDefault="00CF3DCB" w:rsidP="00A44259">
            <w:pPr>
              <w:jc w:val="center"/>
              <w:rPr>
                <w:sz w:val="24"/>
                <w:szCs w:val="24"/>
              </w:rPr>
            </w:pPr>
            <w:r w:rsidRPr="00CF3DCB">
              <w:rPr>
                <w:sz w:val="24"/>
                <w:szCs w:val="24"/>
              </w:rPr>
              <w:t>46210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DCB" w:rsidRPr="00CF3DCB" w:rsidRDefault="00CF3DCB" w:rsidP="00A44259">
            <w:pPr>
              <w:jc w:val="center"/>
              <w:rPr>
                <w:sz w:val="24"/>
                <w:szCs w:val="24"/>
              </w:rPr>
            </w:pPr>
            <w:r w:rsidRPr="00CF3DCB">
              <w:rPr>
                <w:sz w:val="24"/>
                <w:szCs w:val="24"/>
              </w:rPr>
              <w:t>70359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DCB" w:rsidRPr="00CF3DCB" w:rsidRDefault="00CF3DCB" w:rsidP="00A44259">
            <w:pPr>
              <w:jc w:val="center"/>
              <w:rPr>
                <w:sz w:val="24"/>
                <w:szCs w:val="24"/>
              </w:rPr>
            </w:pPr>
            <w:r w:rsidRPr="00CF3DCB">
              <w:rPr>
                <w:sz w:val="24"/>
                <w:szCs w:val="24"/>
              </w:rPr>
              <w:t>73697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DCB" w:rsidRPr="00CF3DCB" w:rsidRDefault="00CF3DCB" w:rsidP="00A44259">
            <w:pPr>
              <w:jc w:val="center"/>
              <w:rPr>
                <w:sz w:val="24"/>
                <w:szCs w:val="24"/>
              </w:rPr>
            </w:pPr>
            <w:r w:rsidRPr="00CF3DCB">
              <w:rPr>
                <w:sz w:val="24"/>
                <w:szCs w:val="24"/>
              </w:rPr>
              <w:t>74395</w:t>
            </w:r>
          </w:p>
        </w:tc>
      </w:tr>
      <w:tr w:rsidR="00CF3DCB" w:rsidRPr="00A20E22" w:rsidTr="003E4425">
        <w:trPr>
          <w:cantSplit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DCB" w:rsidRPr="00CF3DCB" w:rsidRDefault="00CF3DCB" w:rsidP="00A44259">
            <w:pPr>
              <w:rPr>
                <w:sz w:val="24"/>
                <w:szCs w:val="24"/>
                <w:vertAlign w:val="superscript"/>
              </w:rPr>
            </w:pPr>
            <w:r w:rsidRPr="00CF3DCB">
              <w:rPr>
                <w:sz w:val="24"/>
                <w:szCs w:val="24"/>
              </w:rPr>
              <w:t>Реальная заработная плата,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DCB" w:rsidRPr="00CF3DCB" w:rsidRDefault="00CF3DCB" w:rsidP="00A44259">
            <w:pPr>
              <w:jc w:val="center"/>
              <w:rPr>
                <w:sz w:val="24"/>
                <w:szCs w:val="24"/>
              </w:rPr>
            </w:pPr>
            <w:r w:rsidRPr="00CF3DCB">
              <w:rPr>
                <w:sz w:val="24"/>
                <w:szCs w:val="24"/>
              </w:rPr>
              <w:t>108,7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DCB" w:rsidRPr="00CF3DCB" w:rsidRDefault="00CF3DCB" w:rsidP="00A44259">
            <w:pPr>
              <w:jc w:val="center"/>
              <w:rPr>
                <w:sz w:val="24"/>
                <w:szCs w:val="24"/>
              </w:rPr>
            </w:pPr>
            <w:r w:rsidRPr="00CF3DCB">
              <w:rPr>
                <w:sz w:val="24"/>
                <w:szCs w:val="24"/>
              </w:rPr>
              <w:t>101,9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DCB" w:rsidRPr="00CF3DCB" w:rsidRDefault="00CF3DCB" w:rsidP="00A44259">
            <w:pPr>
              <w:jc w:val="center"/>
              <w:rPr>
                <w:sz w:val="24"/>
                <w:szCs w:val="24"/>
              </w:rPr>
            </w:pPr>
            <w:r w:rsidRPr="00CF3DCB">
              <w:rPr>
                <w:sz w:val="24"/>
                <w:szCs w:val="24"/>
              </w:rPr>
              <w:t>104,4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DCB" w:rsidRPr="00CF3DCB" w:rsidRDefault="00CF3DCB" w:rsidP="00A44259">
            <w:pPr>
              <w:jc w:val="center"/>
              <w:rPr>
                <w:sz w:val="24"/>
                <w:szCs w:val="24"/>
              </w:rPr>
            </w:pPr>
            <w:r w:rsidRPr="00CF3DCB">
              <w:rPr>
                <w:sz w:val="24"/>
                <w:szCs w:val="24"/>
              </w:rPr>
              <w:t>101,0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DCB" w:rsidRPr="00CF3DCB" w:rsidRDefault="00CF3DCB" w:rsidP="00A44259">
            <w:pPr>
              <w:jc w:val="center"/>
              <w:rPr>
                <w:sz w:val="24"/>
                <w:szCs w:val="24"/>
              </w:rPr>
            </w:pPr>
            <w:r w:rsidRPr="00CF3DCB">
              <w:rPr>
                <w:sz w:val="24"/>
                <w:szCs w:val="24"/>
              </w:rPr>
              <w:t>100,3</w:t>
            </w:r>
          </w:p>
        </w:tc>
      </w:tr>
      <w:tr w:rsidR="00CF3DCB" w:rsidRPr="00A20E22" w:rsidTr="003E4425">
        <w:trPr>
          <w:cantSplit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DCB" w:rsidRPr="00CF3DCB" w:rsidRDefault="00CF3DCB" w:rsidP="00A442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F3DCB">
              <w:rPr>
                <w:sz w:val="24"/>
                <w:szCs w:val="24"/>
              </w:rPr>
              <w:t>Индекс физического объема оборота розничной торговли,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DCB" w:rsidRPr="00CF3DCB" w:rsidRDefault="00CF3DCB" w:rsidP="00A442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3DCB">
              <w:rPr>
                <w:sz w:val="24"/>
                <w:szCs w:val="24"/>
              </w:rPr>
              <w:t>102,9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DCB" w:rsidRPr="00CF3DCB" w:rsidRDefault="00CF3DCB" w:rsidP="00A442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3DCB">
              <w:rPr>
                <w:sz w:val="24"/>
                <w:szCs w:val="24"/>
              </w:rPr>
              <w:t>101,7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DCB" w:rsidRPr="00CF3DCB" w:rsidRDefault="00CF3DCB" w:rsidP="00A442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3DCB">
              <w:rPr>
                <w:sz w:val="24"/>
                <w:szCs w:val="24"/>
              </w:rPr>
              <w:t>107,2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DCB" w:rsidRPr="00CF3DCB" w:rsidRDefault="00CF3DCB" w:rsidP="00A44259">
            <w:pPr>
              <w:jc w:val="center"/>
              <w:rPr>
                <w:sz w:val="24"/>
                <w:szCs w:val="24"/>
              </w:rPr>
            </w:pPr>
            <w:r w:rsidRPr="00CF3DCB">
              <w:rPr>
                <w:sz w:val="24"/>
                <w:szCs w:val="24"/>
              </w:rPr>
              <w:t>101,8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DCB" w:rsidRPr="00CF3DCB" w:rsidRDefault="00CF3DCB" w:rsidP="00A44259">
            <w:pPr>
              <w:jc w:val="center"/>
              <w:rPr>
                <w:sz w:val="24"/>
                <w:szCs w:val="24"/>
              </w:rPr>
            </w:pPr>
            <w:r w:rsidRPr="00CF3DCB">
              <w:rPr>
                <w:sz w:val="24"/>
                <w:szCs w:val="24"/>
              </w:rPr>
              <w:t>103,7</w:t>
            </w:r>
          </w:p>
        </w:tc>
      </w:tr>
      <w:tr w:rsidR="00CF3DCB" w:rsidRPr="00A20E22" w:rsidTr="003E4425">
        <w:trPr>
          <w:cantSplit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DCB" w:rsidRPr="00CF3DCB" w:rsidRDefault="00CF3DCB" w:rsidP="00A442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F3DCB">
              <w:rPr>
                <w:sz w:val="24"/>
                <w:szCs w:val="24"/>
              </w:rPr>
              <w:t>Индекс физического объема платных услуг населению,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DCB" w:rsidRPr="00CF3DCB" w:rsidRDefault="00CF3DCB" w:rsidP="00A44259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CF3DCB">
              <w:rPr>
                <w:rFonts w:eastAsia="Calibri"/>
                <w:sz w:val="24"/>
                <w:szCs w:val="24"/>
              </w:rPr>
              <w:t>101,4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DCB" w:rsidRPr="00CF3DCB" w:rsidRDefault="00CF3DCB" w:rsidP="00A44259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CF3DCB">
              <w:rPr>
                <w:rFonts w:eastAsia="Calibri"/>
                <w:sz w:val="24"/>
                <w:szCs w:val="24"/>
              </w:rPr>
              <w:t>98,8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DCB" w:rsidRPr="00CF3DCB" w:rsidRDefault="00CF3DCB" w:rsidP="00A44259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CF3DCB">
              <w:rPr>
                <w:rFonts w:eastAsia="Calibri"/>
                <w:sz w:val="24"/>
                <w:szCs w:val="24"/>
              </w:rPr>
              <w:t>102,1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DCB" w:rsidRPr="00CF3DCB" w:rsidRDefault="00CF3DCB" w:rsidP="00A44259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CF3DCB">
              <w:rPr>
                <w:rFonts w:eastAsia="Calibri"/>
                <w:sz w:val="24"/>
                <w:szCs w:val="24"/>
              </w:rPr>
              <w:t>100,1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DCB" w:rsidRPr="00CF3DCB" w:rsidRDefault="00CF3DCB" w:rsidP="00A44259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CF3DCB">
              <w:rPr>
                <w:rFonts w:eastAsia="Calibri"/>
                <w:sz w:val="24"/>
                <w:szCs w:val="24"/>
              </w:rPr>
              <w:t>101,0</w:t>
            </w:r>
          </w:p>
        </w:tc>
      </w:tr>
      <w:tr w:rsidR="00CF3DCB" w:rsidRPr="00A20E22" w:rsidTr="003E4425">
        <w:trPr>
          <w:cantSplit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DCB" w:rsidRPr="00CF3DCB" w:rsidRDefault="00CF3DCB" w:rsidP="00A442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F3DCB">
              <w:rPr>
                <w:sz w:val="24"/>
                <w:szCs w:val="24"/>
              </w:rPr>
              <w:t>Индекс потребительских цен, на конец периода (к декабрю предшествующего года),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DCB" w:rsidRPr="00CF3DCB" w:rsidRDefault="00CF3DCB" w:rsidP="00A442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3DCB">
              <w:rPr>
                <w:sz w:val="24"/>
                <w:szCs w:val="24"/>
              </w:rPr>
              <w:t>102,1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DCB" w:rsidRPr="00CF3DCB" w:rsidRDefault="00CF3DCB" w:rsidP="00A442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3DCB">
              <w:rPr>
                <w:sz w:val="24"/>
                <w:szCs w:val="24"/>
              </w:rPr>
              <w:t>102,5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DCB" w:rsidRPr="00CF3DCB" w:rsidRDefault="00CF3DCB" w:rsidP="00A442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3DCB">
              <w:rPr>
                <w:sz w:val="24"/>
                <w:szCs w:val="24"/>
              </w:rPr>
              <w:t>100,7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DCB" w:rsidRPr="00CF3DCB" w:rsidRDefault="00CF3DCB" w:rsidP="00A442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3DCB">
              <w:rPr>
                <w:sz w:val="24"/>
                <w:szCs w:val="24"/>
              </w:rPr>
              <w:t>102,1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DCB" w:rsidRPr="00CF3DCB" w:rsidRDefault="00CF3DCB" w:rsidP="00A442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3DCB">
              <w:rPr>
                <w:sz w:val="24"/>
                <w:szCs w:val="24"/>
              </w:rPr>
              <w:t>104,3</w:t>
            </w:r>
          </w:p>
        </w:tc>
      </w:tr>
      <w:tr w:rsidR="00CF3DCB" w:rsidRPr="00A20E22" w:rsidTr="003E4425">
        <w:trPr>
          <w:cantSplit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DCB" w:rsidRPr="00CF3DCB" w:rsidRDefault="00CF3DCB" w:rsidP="00A44259">
            <w:pPr>
              <w:widowControl w:val="0"/>
              <w:jc w:val="both"/>
              <w:rPr>
                <w:sz w:val="24"/>
                <w:szCs w:val="24"/>
              </w:rPr>
            </w:pPr>
            <w:r w:rsidRPr="00CF3DCB">
              <w:rPr>
                <w:sz w:val="24"/>
                <w:szCs w:val="24"/>
              </w:rPr>
              <w:t>Поступление налогов и сборов и иных обязательных платежей в консолидированный бюджет, млрд.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DCB" w:rsidRPr="00CF3DCB" w:rsidRDefault="00CF3DCB" w:rsidP="00A442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3DCB">
              <w:rPr>
                <w:sz w:val="24"/>
                <w:szCs w:val="24"/>
              </w:rPr>
              <w:t>9838,0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DCB" w:rsidRPr="00CF3DCB" w:rsidRDefault="00CF3DCB" w:rsidP="00A442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3DCB">
              <w:rPr>
                <w:sz w:val="24"/>
                <w:szCs w:val="24"/>
              </w:rPr>
              <w:t>11138,0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DCB" w:rsidRPr="00CF3DCB" w:rsidRDefault="00CF3DCB" w:rsidP="00A442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3DCB">
              <w:rPr>
                <w:sz w:val="24"/>
                <w:szCs w:val="24"/>
              </w:rPr>
              <w:t>1509,3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DCB" w:rsidRPr="00CF3DCB" w:rsidRDefault="00CF3DCB" w:rsidP="00A442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3DCB">
              <w:rPr>
                <w:sz w:val="24"/>
                <w:szCs w:val="24"/>
              </w:rPr>
              <w:t>1729,9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DCB" w:rsidRPr="00CF3DCB" w:rsidRDefault="00CF3DCB" w:rsidP="00A442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3DCB">
              <w:rPr>
                <w:sz w:val="24"/>
                <w:szCs w:val="24"/>
              </w:rPr>
              <w:t>3800,0</w:t>
            </w:r>
            <w:r w:rsidRPr="00CF3DCB">
              <w:rPr>
                <w:rStyle w:val="a8"/>
                <w:sz w:val="24"/>
                <w:szCs w:val="24"/>
              </w:rPr>
              <w:footnoteReference w:id="3"/>
            </w:r>
          </w:p>
        </w:tc>
      </w:tr>
      <w:tr w:rsidR="00CF3DCB" w:rsidRPr="00A20E22" w:rsidTr="003E4425">
        <w:trPr>
          <w:cantSplit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DCB" w:rsidRPr="00CF3DCB" w:rsidRDefault="00CF3DCB" w:rsidP="00A44259">
            <w:pPr>
              <w:widowControl w:val="0"/>
              <w:jc w:val="both"/>
              <w:rPr>
                <w:sz w:val="24"/>
                <w:szCs w:val="24"/>
              </w:rPr>
            </w:pPr>
            <w:r w:rsidRPr="00CF3DCB">
              <w:rPr>
                <w:sz w:val="24"/>
                <w:szCs w:val="24"/>
              </w:rPr>
              <w:t>Доля поступлений налогов и сборов и иных обязательных платежей с территории Югры в консолидированном бюджете Российской Федерации,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DCB" w:rsidRPr="00CF3DCB" w:rsidRDefault="00CF3DCB" w:rsidP="00A442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3DCB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DCB" w:rsidRPr="00CF3DCB" w:rsidRDefault="00CF3DCB" w:rsidP="00A442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3DCB">
              <w:rPr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DCB" w:rsidRPr="00CF3DCB" w:rsidRDefault="00CF3DCB" w:rsidP="00A442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3DCB">
              <w:rPr>
                <w:sz w:val="24"/>
                <w:szCs w:val="24"/>
              </w:rPr>
              <w:t>15,3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DCB" w:rsidRPr="00CF3DCB" w:rsidRDefault="00CF3DCB" w:rsidP="00A442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3DCB">
              <w:rPr>
                <w:sz w:val="24"/>
                <w:szCs w:val="24"/>
              </w:rPr>
              <w:t>15,5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DCB" w:rsidRPr="00CF3DCB" w:rsidRDefault="00CF3DCB" w:rsidP="00A442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3DCB">
              <w:rPr>
                <w:sz w:val="24"/>
                <w:szCs w:val="24"/>
              </w:rPr>
              <w:t>15,0</w:t>
            </w:r>
          </w:p>
        </w:tc>
      </w:tr>
      <w:tr w:rsidR="00CF3DCB" w:rsidRPr="00A20E22" w:rsidTr="003E4425">
        <w:trPr>
          <w:cantSplit/>
          <w:trHeight w:val="49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DCB" w:rsidRPr="00CF3DCB" w:rsidRDefault="00CF3DCB" w:rsidP="00A442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F3DCB">
              <w:rPr>
                <w:sz w:val="24"/>
                <w:szCs w:val="24"/>
              </w:rPr>
              <w:lastRenderedPageBreak/>
              <w:t>Уровень зарегистрированной безработицы к экономически активному населению (на конец периода),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DCB" w:rsidRPr="00CF3DCB" w:rsidRDefault="00CF3DCB" w:rsidP="00A44259">
            <w:pPr>
              <w:jc w:val="center"/>
              <w:rPr>
                <w:sz w:val="24"/>
                <w:szCs w:val="24"/>
              </w:rPr>
            </w:pPr>
            <w:r w:rsidRPr="00CF3DCB">
              <w:rPr>
                <w:sz w:val="24"/>
                <w:szCs w:val="24"/>
              </w:rPr>
              <w:t>0,90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DCB" w:rsidRPr="00CF3DCB" w:rsidRDefault="00CF3DCB" w:rsidP="00A44259">
            <w:pPr>
              <w:jc w:val="center"/>
              <w:rPr>
                <w:sz w:val="24"/>
                <w:szCs w:val="24"/>
              </w:rPr>
            </w:pPr>
            <w:r w:rsidRPr="00CF3DCB">
              <w:rPr>
                <w:sz w:val="24"/>
                <w:szCs w:val="24"/>
              </w:rPr>
              <w:t>1,00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DCB" w:rsidRPr="00CF3DCB" w:rsidRDefault="00CF3DCB" w:rsidP="00A44259">
            <w:pPr>
              <w:jc w:val="center"/>
              <w:rPr>
                <w:sz w:val="24"/>
                <w:szCs w:val="24"/>
              </w:rPr>
            </w:pPr>
            <w:r w:rsidRPr="00CF3DCB">
              <w:rPr>
                <w:sz w:val="24"/>
                <w:szCs w:val="24"/>
              </w:rPr>
              <w:t>0,41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DCB" w:rsidRPr="00CF3DCB" w:rsidRDefault="00CF3DCB" w:rsidP="00A44259">
            <w:pPr>
              <w:jc w:val="center"/>
              <w:rPr>
                <w:sz w:val="24"/>
                <w:szCs w:val="24"/>
              </w:rPr>
            </w:pPr>
            <w:r w:rsidRPr="00CF3DCB">
              <w:rPr>
                <w:sz w:val="24"/>
                <w:szCs w:val="24"/>
              </w:rPr>
              <w:t>0,44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DCB" w:rsidRPr="00CF3DCB" w:rsidRDefault="00CF3DCB" w:rsidP="00A44259">
            <w:pPr>
              <w:jc w:val="center"/>
              <w:rPr>
                <w:sz w:val="24"/>
                <w:szCs w:val="24"/>
              </w:rPr>
            </w:pPr>
            <w:r w:rsidRPr="00CF3DCB">
              <w:rPr>
                <w:sz w:val="24"/>
                <w:szCs w:val="24"/>
              </w:rPr>
              <w:t>0,57</w:t>
            </w:r>
          </w:p>
        </w:tc>
      </w:tr>
    </w:tbl>
    <w:p w:rsidR="00CF3DCB" w:rsidRDefault="00CF3DCB" w:rsidP="00EC58D3">
      <w:pPr>
        <w:rPr>
          <w:rFonts w:eastAsiaTheme="majorEastAsia"/>
        </w:rPr>
      </w:pPr>
    </w:p>
    <w:p w:rsidR="000F022C" w:rsidRPr="00A20E22" w:rsidRDefault="000F022C" w:rsidP="001B58EA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eastAsiaTheme="majorEastAsia" w:hAnsi="Times New Roman"/>
          <w:b w:val="0"/>
          <w:sz w:val="26"/>
          <w:szCs w:val="26"/>
        </w:rPr>
      </w:pPr>
      <w:bookmarkStart w:id="2" w:name="_Toc10912537"/>
      <w:r w:rsidRPr="00A20E22">
        <w:rPr>
          <w:rFonts w:ascii="Times New Roman" w:eastAsiaTheme="majorEastAsia" w:hAnsi="Times New Roman"/>
          <w:b w:val="0"/>
          <w:sz w:val="26"/>
          <w:szCs w:val="26"/>
        </w:rPr>
        <w:t>Реальный сектор экономики</w:t>
      </w:r>
      <w:bookmarkEnd w:id="2"/>
    </w:p>
    <w:p w:rsidR="001B58EA" w:rsidRPr="00A20E22" w:rsidRDefault="001B58EA" w:rsidP="001B58EA">
      <w:pPr>
        <w:rPr>
          <w:rFonts w:eastAsiaTheme="majorEastAsia"/>
        </w:rPr>
      </w:pPr>
    </w:p>
    <w:p w:rsidR="000F022C" w:rsidRPr="00A20E22" w:rsidRDefault="000F022C" w:rsidP="001B58EA">
      <w:pPr>
        <w:pStyle w:val="2"/>
        <w:numPr>
          <w:ilvl w:val="0"/>
          <w:numId w:val="0"/>
        </w:numPr>
        <w:rPr>
          <w:rFonts w:eastAsiaTheme="majorEastAsia"/>
          <w:color w:val="auto"/>
        </w:rPr>
      </w:pPr>
      <w:bookmarkStart w:id="3" w:name="_Toc10912538"/>
      <w:r w:rsidRPr="00A20E22">
        <w:rPr>
          <w:rFonts w:eastAsiaTheme="majorEastAsia"/>
          <w:color w:val="auto"/>
        </w:rPr>
        <w:t>Промышленное производство</w:t>
      </w:r>
      <w:bookmarkEnd w:id="3"/>
    </w:p>
    <w:p w:rsidR="008D09EC" w:rsidRPr="00A20E22" w:rsidRDefault="000F022C" w:rsidP="008D09EC">
      <w:pPr>
        <w:jc w:val="both"/>
        <w:rPr>
          <w:sz w:val="26"/>
          <w:szCs w:val="26"/>
        </w:rPr>
      </w:pPr>
      <w:r w:rsidRPr="00A20E22">
        <w:rPr>
          <w:sz w:val="26"/>
          <w:szCs w:val="26"/>
        </w:rPr>
        <w:tab/>
      </w:r>
    </w:p>
    <w:p w:rsidR="00F81563" w:rsidRPr="00A20E22" w:rsidRDefault="00F81563" w:rsidP="00F81563">
      <w:pPr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 xml:space="preserve">В январе-июне 2019 года </w:t>
      </w:r>
      <w:proofErr w:type="gramStart"/>
      <w:r w:rsidRPr="00A20E22">
        <w:rPr>
          <w:sz w:val="26"/>
          <w:szCs w:val="26"/>
        </w:rPr>
        <w:t>отгружено товаров собственного производства и выполнено</w:t>
      </w:r>
      <w:proofErr w:type="gramEnd"/>
      <w:r w:rsidRPr="00A20E22">
        <w:rPr>
          <w:sz w:val="26"/>
          <w:szCs w:val="26"/>
        </w:rPr>
        <w:t xml:space="preserve"> работ (услуг) по полному кругу организаций-производителей промышленной продукции в объёме 2405,4 млрд. рублей. </w:t>
      </w:r>
    </w:p>
    <w:p w:rsidR="00F81563" w:rsidRPr="00A20E22" w:rsidRDefault="00F81563" w:rsidP="00F81563">
      <w:pPr>
        <w:widowControl w:val="0"/>
        <w:jc w:val="right"/>
        <w:rPr>
          <w:sz w:val="26"/>
          <w:szCs w:val="26"/>
        </w:rPr>
      </w:pPr>
      <w:r w:rsidRPr="00A20E22">
        <w:rPr>
          <w:sz w:val="26"/>
          <w:szCs w:val="26"/>
        </w:rPr>
        <w:t>Таблица 2</w:t>
      </w:r>
    </w:p>
    <w:p w:rsidR="00F81563" w:rsidRPr="00A20E22" w:rsidRDefault="00F81563" w:rsidP="00F81563">
      <w:pPr>
        <w:widowControl w:val="0"/>
        <w:jc w:val="center"/>
        <w:rPr>
          <w:sz w:val="26"/>
          <w:szCs w:val="26"/>
        </w:rPr>
      </w:pPr>
      <w:r w:rsidRPr="00A20E22">
        <w:rPr>
          <w:sz w:val="26"/>
          <w:szCs w:val="26"/>
        </w:rPr>
        <w:t>Структура промышленного производства (по полному кругу организаций)</w:t>
      </w:r>
    </w:p>
    <w:p w:rsidR="00F81563" w:rsidRPr="00A20E22" w:rsidRDefault="00F81563" w:rsidP="00F81563">
      <w:pPr>
        <w:widowControl w:val="0"/>
        <w:jc w:val="right"/>
        <w:rPr>
          <w:sz w:val="26"/>
          <w:szCs w:val="26"/>
        </w:rPr>
      </w:pPr>
      <w:r w:rsidRPr="00A20E22">
        <w:rPr>
          <w:sz w:val="26"/>
          <w:szCs w:val="26"/>
        </w:rPr>
        <w:t>в % к общему итогу</w:t>
      </w:r>
    </w:p>
    <w:p w:rsidR="00F81563" w:rsidRPr="00A20E22" w:rsidRDefault="00F81563" w:rsidP="00F81563">
      <w:pPr>
        <w:widowControl w:val="0"/>
        <w:jc w:val="center"/>
        <w:rPr>
          <w:sz w:val="12"/>
          <w:szCs w:val="1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35"/>
        <w:gridCol w:w="1736"/>
      </w:tblGrid>
      <w:tr w:rsidR="00A20E22" w:rsidRPr="00A20E22" w:rsidTr="005F3E8E">
        <w:trPr>
          <w:trHeight w:val="393"/>
          <w:tblHeader/>
        </w:trPr>
        <w:tc>
          <w:tcPr>
            <w:tcW w:w="409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563" w:rsidRPr="00A20E22" w:rsidRDefault="00F81563" w:rsidP="005F3E8E">
            <w:pPr>
              <w:jc w:val="center"/>
              <w:rPr>
                <w:rFonts w:ascii="Calibri" w:eastAsiaTheme="minorHAnsi" w:hAnsi="Calibri"/>
                <w:sz w:val="24"/>
                <w:szCs w:val="24"/>
                <w:lang w:eastAsia="en-US"/>
              </w:rPr>
            </w:pPr>
            <w:r w:rsidRPr="00A20E22">
              <w:rPr>
                <w:sz w:val="24"/>
                <w:szCs w:val="24"/>
              </w:rPr>
              <w:t>Виды деятельности</w:t>
            </w:r>
          </w:p>
        </w:tc>
        <w:tc>
          <w:tcPr>
            <w:tcW w:w="907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563" w:rsidRPr="00A20E22" w:rsidRDefault="00F81563" w:rsidP="005F3E8E">
            <w:pPr>
              <w:jc w:val="center"/>
              <w:rPr>
                <w:rFonts w:ascii="Calibri" w:eastAsiaTheme="minorHAnsi" w:hAnsi="Calibri"/>
                <w:sz w:val="24"/>
                <w:szCs w:val="24"/>
                <w:lang w:eastAsia="en-US"/>
              </w:rPr>
            </w:pPr>
            <w:r w:rsidRPr="00A20E22">
              <w:rPr>
                <w:sz w:val="24"/>
                <w:szCs w:val="24"/>
              </w:rPr>
              <w:t>Структура,</w:t>
            </w:r>
          </w:p>
          <w:p w:rsidR="00F81563" w:rsidRPr="00A20E22" w:rsidRDefault="00F81563" w:rsidP="005F3E8E">
            <w:pPr>
              <w:jc w:val="center"/>
              <w:rPr>
                <w:rFonts w:ascii="Calibri" w:eastAsiaTheme="minorHAnsi" w:hAnsi="Calibri"/>
                <w:sz w:val="24"/>
                <w:szCs w:val="24"/>
                <w:lang w:eastAsia="en-US"/>
              </w:rPr>
            </w:pPr>
            <w:r w:rsidRPr="00A20E22">
              <w:rPr>
                <w:sz w:val="24"/>
                <w:szCs w:val="24"/>
              </w:rPr>
              <w:t>%</w:t>
            </w:r>
          </w:p>
        </w:tc>
      </w:tr>
      <w:tr w:rsidR="00A20E22" w:rsidRPr="00A20E22" w:rsidTr="005F3E8E">
        <w:tc>
          <w:tcPr>
            <w:tcW w:w="40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563" w:rsidRPr="00A20E22" w:rsidRDefault="00F81563" w:rsidP="005F3E8E">
            <w:pPr>
              <w:jc w:val="both"/>
              <w:rPr>
                <w:rFonts w:ascii="Calibri" w:eastAsiaTheme="minorHAnsi" w:hAnsi="Calibri"/>
                <w:sz w:val="24"/>
                <w:szCs w:val="24"/>
                <w:lang w:eastAsia="en-US"/>
              </w:rPr>
            </w:pPr>
            <w:r w:rsidRPr="00A20E22">
              <w:rPr>
                <w:sz w:val="24"/>
                <w:szCs w:val="24"/>
              </w:rPr>
              <w:t>Отгружено товаров, выполнено работ и услуг промышленного производства, в том числе:</w:t>
            </w:r>
          </w:p>
        </w:tc>
        <w:tc>
          <w:tcPr>
            <w:tcW w:w="9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563" w:rsidRPr="00A20E22" w:rsidRDefault="00F81563" w:rsidP="005F3E8E">
            <w:pPr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100,0</w:t>
            </w:r>
          </w:p>
        </w:tc>
      </w:tr>
      <w:tr w:rsidR="00A20E22" w:rsidRPr="00A20E22" w:rsidTr="005F3E8E">
        <w:tc>
          <w:tcPr>
            <w:tcW w:w="40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563" w:rsidRPr="00A20E22" w:rsidRDefault="00F81563" w:rsidP="005F3E8E">
            <w:pPr>
              <w:jc w:val="both"/>
              <w:rPr>
                <w:rFonts w:ascii="Calibri" w:eastAsiaTheme="minorHAnsi" w:hAnsi="Calibri"/>
                <w:sz w:val="24"/>
                <w:szCs w:val="24"/>
                <w:lang w:eastAsia="en-US"/>
              </w:rPr>
            </w:pPr>
            <w:r w:rsidRPr="00A20E22">
              <w:rPr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9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563" w:rsidRPr="00A20E22" w:rsidRDefault="00F81563" w:rsidP="005F3E8E">
            <w:pPr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79,7</w:t>
            </w:r>
          </w:p>
        </w:tc>
      </w:tr>
      <w:tr w:rsidR="00A20E22" w:rsidRPr="00A20E22" w:rsidTr="005F3E8E">
        <w:tc>
          <w:tcPr>
            <w:tcW w:w="40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563" w:rsidRPr="00A20E22" w:rsidRDefault="00F81563" w:rsidP="005F3E8E">
            <w:pPr>
              <w:jc w:val="both"/>
              <w:rPr>
                <w:rFonts w:ascii="Calibri" w:eastAsiaTheme="minorHAnsi" w:hAnsi="Calibri"/>
                <w:sz w:val="24"/>
                <w:szCs w:val="24"/>
                <w:lang w:eastAsia="en-US"/>
              </w:rPr>
            </w:pPr>
            <w:r w:rsidRPr="00A20E22">
              <w:rPr>
                <w:sz w:val="24"/>
                <w:szCs w:val="24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9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563" w:rsidRPr="00A20E22" w:rsidRDefault="00F81563" w:rsidP="005F3E8E">
            <w:pPr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4,9</w:t>
            </w:r>
          </w:p>
        </w:tc>
      </w:tr>
      <w:tr w:rsidR="00A20E22" w:rsidRPr="00A20E22" w:rsidTr="005F3E8E">
        <w:tc>
          <w:tcPr>
            <w:tcW w:w="40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563" w:rsidRPr="00A20E22" w:rsidRDefault="00F81563" w:rsidP="005F3E8E">
            <w:pPr>
              <w:jc w:val="both"/>
              <w:rPr>
                <w:rFonts w:ascii="Calibri" w:eastAsiaTheme="minorHAnsi" w:hAnsi="Calibri"/>
                <w:sz w:val="24"/>
                <w:szCs w:val="24"/>
                <w:lang w:eastAsia="en-US"/>
              </w:rPr>
            </w:pPr>
            <w:r w:rsidRPr="00A20E22">
              <w:rPr>
                <w:sz w:val="24"/>
                <w:szCs w:val="24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9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563" w:rsidRPr="00A20E22" w:rsidRDefault="00F81563" w:rsidP="005F3E8E">
            <w:pPr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0,4</w:t>
            </w:r>
          </w:p>
        </w:tc>
      </w:tr>
      <w:tr w:rsidR="00A20E22" w:rsidRPr="00A20E22" w:rsidTr="005F3E8E">
        <w:tc>
          <w:tcPr>
            <w:tcW w:w="40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563" w:rsidRPr="00A20E22" w:rsidRDefault="00F81563" w:rsidP="005F3E8E">
            <w:pPr>
              <w:jc w:val="both"/>
              <w:rPr>
                <w:rFonts w:ascii="Calibri" w:eastAsiaTheme="minorHAnsi" w:hAnsi="Calibri"/>
                <w:sz w:val="24"/>
                <w:szCs w:val="24"/>
                <w:lang w:eastAsia="en-US"/>
              </w:rPr>
            </w:pPr>
            <w:r w:rsidRPr="00A20E22">
              <w:rPr>
                <w:sz w:val="24"/>
                <w:szCs w:val="24"/>
              </w:rPr>
              <w:t>Обрабатывающие производства, из их числа:</w:t>
            </w:r>
          </w:p>
        </w:tc>
        <w:tc>
          <w:tcPr>
            <w:tcW w:w="9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563" w:rsidRPr="00A20E22" w:rsidRDefault="00F81563" w:rsidP="00D4451D">
            <w:pPr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15,</w:t>
            </w:r>
            <w:r w:rsidR="00D4451D">
              <w:rPr>
                <w:sz w:val="24"/>
                <w:szCs w:val="24"/>
              </w:rPr>
              <w:t>0</w:t>
            </w:r>
          </w:p>
        </w:tc>
      </w:tr>
      <w:tr w:rsidR="00A20E22" w:rsidRPr="00A20E22" w:rsidTr="005F3E8E">
        <w:tc>
          <w:tcPr>
            <w:tcW w:w="40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563" w:rsidRPr="00A20E22" w:rsidRDefault="00F81563" w:rsidP="005F3E8E">
            <w:pPr>
              <w:ind w:left="426"/>
              <w:jc w:val="both"/>
              <w:rPr>
                <w:rFonts w:ascii="Calibri" w:eastAsiaTheme="minorHAnsi" w:hAnsi="Calibri"/>
                <w:sz w:val="24"/>
                <w:szCs w:val="24"/>
                <w:lang w:eastAsia="en-US"/>
              </w:rPr>
            </w:pPr>
            <w:r w:rsidRPr="00A20E22">
              <w:rPr>
                <w:sz w:val="24"/>
                <w:szCs w:val="24"/>
              </w:rPr>
              <w:t>производство нефтепродуктов</w:t>
            </w:r>
          </w:p>
        </w:tc>
        <w:tc>
          <w:tcPr>
            <w:tcW w:w="9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563" w:rsidRPr="00A20E22" w:rsidRDefault="00D4451D" w:rsidP="005F3E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</w:t>
            </w:r>
            <w:r w:rsidR="0097516F" w:rsidRPr="00A20E22">
              <w:rPr>
                <w:sz w:val="24"/>
                <w:szCs w:val="24"/>
              </w:rPr>
              <w:t>7</w:t>
            </w:r>
          </w:p>
        </w:tc>
      </w:tr>
      <w:tr w:rsidR="00A20E22" w:rsidRPr="00A20E22" w:rsidTr="005F3E8E">
        <w:tc>
          <w:tcPr>
            <w:tcW w:w="40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563" w:rsidRPr="00A20E22" w:rsidRDefault="00F81563" w:rsidP="005F3E8E">
            <w:pPr>
              <w:ind w:left="426"/>
              <w:jc w:val="both"/>
              <w:rPr>
                <w:rFonts w:ascii="Calibri" w:eastAsiaTheme="minorHAnsi" w:hAnsi="Calibri"/>
                <w:sz w:val="24"/>
                <w:szCs w:val="24"/>
                <w:lang w:eastAsia="en-US"/>
              </w:rPr>
            </w:pPr>
            <w:r w:rsidRPr="00A20E22">
              <w:rPr>
                <w:sz w:val="24"/>
                <w:szCs w:val="24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9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563" w:rsidRPr="00A20E22" w:rsidRDefault="00F81563" w:rsidP="00D4451D">
            <w:pPr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0,</w:t>
            </w:r>
            <w:r w:rsidR="0097516F" w:rsidRPr="00A20E22">
              <w:rPr>
                <w:sz w:val="24"/>
                <w:szCs w:val="24"/>
              </w:rPr>
              <w:t>0</w:t>
            </w:r>
          </w:p>
        </w:tc>
      </w:tr>
      <w:tr w:rsidR="00A20E22" w:rsidRPr="00A20E22" w:rsidTr="005F3E8E">
        <w:tc>
          <w:tcPr>
            <w:tcW w:w="40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563" w:rsidRPr="00A20E22" w:rsidRDefault="00F81563" w:rsidP="005F3E8E">
            <w:pPr>
              <w:ind w:left="426"/>
              <w:jc w:val="both"/>
              <w:rPr>
                <w:rFonts w:ascii="Calibri" w:eastAsiaTheme="minorHAnsi" w:hAnsi="Calibri"/>
                <w:sz w:val="24"/>
                <w:szCs w:val="24"/>
                <w:lang w:eastAsia="en-US"/>
              </w:rPr>
            </w:pPr>
            <w:r w:rsidRPr="00A20E22">
              <w:rPr>
                <w:sz w:val="24"/>
                <w:szCs w:val="24"/>
              </w:rPr>
              <w:t>производство электрического оборудования</w:t>
            </w:r>
          </w:p>
        </w:tc>
        <w:tc>
          <w:tcPr>
            <w:tcW w:w="9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563" w:rsidRPr="00A20E22" w:rsidRDefault="0097516F" w:rsidP="00D4451D">
            <w:pPr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0,0</w:t>
            </w:r>
          </w:p>
        </w:tc>
      </w:tr>
      <w:tr w:rsidR="00A20E22" w:rsidRPr="00A20E22" w:rsidTr="005F3E8E">
        <w:tc>
          <w:tcPr>
            <w:tcW w:w="40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563" w:rsidRPr="00A20E22" w:rsidRDefault="00F81563" w:rsidP="005F3E8E">
            <w:pPr>
              <w:ind w:left="426"/>
              <w:jc w:val="both"/>
              <w:rPr>
                <w:rFonts w:ascii="Calibri" w:eastAsiaTheme="minorHAnsi" w:hAnsi="Calibri"/>
                <w:sz w:val="24"/>
                <w:szCs w:val="24"/>
                <w:lang w:eastAsia="en-US"/>
              </w:rPr>
            </w:pPr>
            <w:r w:rsidRPr="00A20E22">
              <w:rPr>
                <w:sz w:val="24"/>
                <w:szCs w:val="24"/>
              </w:rPr>
              <w:t>обработка древесины и производство изделий из дерева</w:t>
            </w:r>
          </w:p>
        </w:tc>
        <w:tc>
          <w:tcPr>
            <w:tcW w:w="9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563" w:rsidRPr="00A20E22" w:rsidRDefault="0097516F" w:rsidP="00D4451D">
            <w:pPr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0,1</w:t>
            </w:r>
          </w:p>
        </w:tc>
      </w:tr>
      <w:tr w:rsidR="00A20E22" w:rsidRPr="00A20E22" w:rsidTr="005F3E8E">
        <w:tc>
          <w:tcPr>
            <w:tcW w:w="40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563" w:rsidRPr="00A20E22" w:rsidRDefault="00F81563" w:rsidP="005F3E8E">
            <w:pPr>
              <w:ind w:left="426"/>
              <w:jc w:val="both"/>
              <w:rPr>
                <w:rFonts w:ascii="Calibri" w:eastAsiaTheme="minorHAnsi" w:hAnsi="Calibri"/>
                <w:sz w:val="24"/>
                <w:szCs w:val="24"/>
                <w:lang w:eastAsia="en-US"/>
              </w:rPr>
            </w:pPr>
            <w:r w:rsidRPr="00A20E22">
              <w:rPr>
                <w:sz w:val="24"/>
                <w:szCs w:val="24"/>
              </w:rPr>
              <w:t>производство пищевых продуктов</w:t>
            </w:r>
          </w:p>
        </w:tc>
        <w:tc>
          <w:tcPr>
            <w:tcW w:w="9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563" w:rsidRPr="00A20E22" w:rsidRDefault="0097516F" w:rsidP="00D4451D">
            <w:pPr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0,1</w:t>
            </w:r>
          </w:p>
        </w:tc>
      </w:tr>
      <w:tr w:rsidR="00A20E22" w:rsidRPr="00A20E22" w:rsidTr="005F3E8E">
        <w:tc>
          <w:tcPr>
            <w:tcW w:w="40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563" w:rsidRPr="00A20E22" w:rsidRDefault="00F81563" w:rsidP="005F3E8E">
            <w:pPr>
              <w:ind w:left="426"/>
              <w:jc w:val="both"/>
              <w:rPr>
                <w:rFonts w:ascii="Calibri" w:eastAsiaTheme="minorHAnsi" w:hAnsi="Calibri"/>
                <w:sz w:val="24"/>
                <w:szCs w:val="24"/>
                <w:lang w:eastAsia="en-US"/>
              </w:rPr>
            </w:pPr>
            <w:r w:rsidRPr="00A20E22">
              <w:rPr>
                <w:sz w:val="24"/>
                <w:szCs w:val="24"/>
              </w:rPr>
              <w:t>производство готовых металлических изделий</w:t>
            </w:r>
          </w:p>
        </w:tc>
        <w:tc>
          <w:tcPr>
            <w:tcW w:w="9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563" w:rsidRPr="00A20E22" w:rsidRDefault="0097516F" w:rsidP="00D4451D">
            <w:pPr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0,1</w:t>
            </w:r>
          </w:p>
        </w:tc>
      </w:tr>
      <w:tr w:rsidR="00A20E22" w:rsidRPr="00A20E22" w:rsidTr="005F3E8E">
        <w:tc>
          <w:tcPr>
            <w:tcW w:w="40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563" w:rsidRPr="00A20E22" w:rsidRDefault="00F81563" w:rsidP="005F3E8E">
            <w:pPr>
              <w:ind w:left="426"/>
              <w:jc w:val="both"/>
              <w:rPr>
                <w:rFonts w:ascii="Calibri" w:eastAsiaTheme="minorHAnsi" w:hAnsi="Calibri"/>
                <w:sz w:val="24"/>
                <w:szCs w:val="24"/>
                <w:lang w:eastAsia="en-US"/>
              </w:rPr>
            </w:pPr>
            <w:r w:rsidRPr="00A20E22">
              <w:rPr>
                <w:sz w:val="24"/>
                <w:szCs w:val="24"/>
              </w:rPr>
              <w:t xml:space="preserve">производство прочей неметаллической минеральной продукции </w:t>
            </w:r>
          </w:p>
        </w:tc>
        <w:tc>
          <w:tcPr>
            <w:tcW w:w="9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563" w:rsidRPr="00A20E22" w:rsidRDefault="0097516F" w:rsidP="00D4451D">
            <w:pPr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0,</w:t>
            </w:r>
            <w:r w:rsidR="00D4451D">
              <w:rPr>
                <w:sz w:val="24"/>
                <w:szCs w:val="24"/>
              </w:rPr>
              <w:t>1</w:t>
            </w:r>
          </w:p>
        </w:tc>
      </w:tr>
      <w:tr w:rsidR="00A20E22" w:rsidRPr="00A20E22" w:rsidTr="005F3E8E">
        <w:tc>
          <w:tcPr>
            <w:tcW w:w="40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563" w:rsidRPr="00A20E22" w:rsidRDefault="00F81563" w:rsidP="005F3E8E">
            <w:pPr>
              <w:ind w:left="426"/>
              <w:jc w:val="both"/>
              <w:rPr>
                <w:rFonts w:ascii="Calibri" w:eastAsiaTheme="minorHAnsi" w:hAnsi="Calibri"/>
                <w:sz w:val="24"/>
                <w:szCs w:val="24"/>
                <w:lang w:eastAsia="en-US"/>
              </w:rPr>
            </w:pPr>
            <w:r w:rsidRPr="00A20E22">
              <w:rPr>
                <w:sz w:val="24"/>
                <w:szCs w:val="24"/>
              </w:rPr>
              <w:t xml:space="preserve">производство химических веществ и химических продуктов </w:t>
            </w:r>
          </w:p>
        </w:tc>
        <w:tc>
          <w:tcPr>
            <w:tcW w:w="9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563" w:rsidRPr="00A20E22" w:rsidRDefault="0097516F" w:rsidP="00D4451D">
            <w:pPr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0,</w:t>
            </w:r>
            <w:r w:rsidR="00D4451D">
              <w:rPr>
                <w:sz w:val="24"/>
                <w:szCs w:val="24"/>
              </w:rPr>
              <w:t>1</w:t>
            </w:r>
          </w:p>
        </w:tc>
      </w:tr>
      <w:tr w:rsidR="00A20E22" w:rsidRPr="00A20E22" w:rsidTr="005F3E8E">
        <w:tc>
          <w:tcPr>
            <w:tcW w:w="40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563" w:rsidRPr="00A20E22" w:rsidRDefault="00F81563" w:rsidP="005F3E8E">
            <w:pPr>
              <w:ind w:left="426"/>
              <w:jc w:val="both"/>
              <w:rPr>
                <w:rFonts w:ascii="Calibri" w:eastAsiaTheme="minorHAnsi" w:hAnsi="Calibri"/>
                <w:sz w:val="24"/>
                <w:szCs w:val="24"/>
                <w:lang w:eastAsia="en-US"/>
              </w:rPr>
            </w:pPr>
            <w:r w:rsidRPr="00A20E22">
              <w:rPr>
                <w:sz w:val="24"/>
                <w:szCs w:val="24"/>
              </w:rPr>
              <w:t>производство прочих транспортных средств и оборудования</w:t>
            </w:r>
          </w:p>
        </w:tc>
        <w:tc>
          <w:tcPr>
            <w:tcW w:w="9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563" w:rsidRPr="00A20E22" w:rsidRDefault="0097516F" w:rsidP="00D4451D">
            <w:pPr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0,0</w:t>
            </w:r>
          </w:p>
        </w:tc>
      </w:tr>
      <w:tr w:rsidR="00A20E22" w:rsidRPr="00A20E22" w:rsidTr="005F3E8E">
        <w:tc>
          <w:tcPr>
            <w:tcW w:w="40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563" w:rsidRPr="00A20E22" w:rsidRDefault="00F81563" w:rsidP="005F3E8E">
            <w:pPr>
              <w:ind w:left="426"/>
              <w:jc w:val="both"/>
              <w:rPr>
                <w:rFonts w:ascii="Calibri" w:eastAsiaTheme="minorHAnsi" w:hAnsi="Calibri"/>
                <w:sz w:val="24"/>
                <w:szCs w:val="24"/>
                <w:lang w:eastAsia="en-US"/>
              </w:rPr>
            </w:pPr>
            <w:r w:rsidRPr="00A20E22">
              <w:rPr>
                <w:sz w:val="24"/>
                <w:szCs w:val="24"/>
              </w:rPr>
              <w:t>производство резиновых и пластмассовых изделий</w:t>
            </w:r>
          </w:p>
        </w:tc>
        <w:tc>
          <w:tcPr>
            <w:tcW w:w="9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563" w:rsidRPr="00A20E22" w:rsidRDefault="0097516F" w:rsidP="00D4451D">
            <w:pPr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0,0</w:t>
            </w:r>
          </w:p>
        </w:tc>
      </w:tr>
      <w:tr w:rsidR="00A20E22" w:rsidRPr="00A20E22" w:rsidTr="005F3E8E">
        <w:tc>
          <w:tcPr>
            <w:tcW w:w="40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563" w:rsidRPr="00A20E22" w:rsidRDefault="00F81563" w:rsidP="005F3E8E">
            <w:pPr>
              <w:ind w:left="426"/>
              <w:jc w:val="both"/>
              <w:rPr>
                <w:rFonts w:ascii="Calibri" w:eastAsiaTheme="minorHAnsi" w:hAnsi="Calibri"/>
                <w:sz w:val="24"/>
                <w:szCs w:val="24"/>
                <w:lang w:eastAsia="en-US"/>
              </w:rPr>
            </w:pPr>
            <w:r w:rsidRPr="00A20E22">
              <w:rPr>
                <w:sz w:val="24"/>
                <w:szCs w:val="24"/>
              </w:rPr>
              <w:t>ремонт и монтаж машин и оборудования</w:t>
            </w:r>
          </w:p>
        </w:tc>
        <w:tc>
          <w:tcPr>
            <w:tcW w:w="9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563" w:rsidRPr="00A20E22" w:rsidRDefault="0097516F" w:rsidP="00D4451D">
            <w:pPr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0,</w:t>
            </w:r>
            <w:r w:rsidR="00D4451D">
              <w:rPr>
                <w:sz w:val="24"/>
                <w:szCs w:val="24"/>
              </w:rPr>
              <w:t>8</w:t>
            </w:r>
          </w:p>
        </w:tc>
      </w:tr>
      <w:tr w:rsidR="0097516F" w:rsidRPr="00A20E22" w:rsidTr="005F3E8E">
        <w:tc>
          <w:tcPr>
            <w:tcW w:w="40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563" w:rsidRPr="00A20E22" w:rsidRDefault="00F81563" w:rsidP="005F3E8E">
            <w:pPr>
              <w:ind w:left="426"/>
              <w:jc w:val="both"/>
              <w:rPr>
                <w:rFonts w:ascii="Calibri" w:eastAsiaTheme="minorHAnsi" w:hAnsi="Calibri"/>
                <w:sz w:val="24"/>
                <w:szCs w:val="24"/>
                <w:lang w:eastAsia="en-US"/>
              </w:rPr>
            </w:pPr>
            <w:r w:rsidRPr="00A20E22">
              <w:rPr>
                <w:sz w:val="24"/>
                <w:szCs w:val="24"/>
              </w:rPr>
              <w:t>прочие производства</w:t>
            </w:r>
          </w:p>
        </w:tc>
        <w:tc>
          <w:tcPr>
            <w:tcW w:w="9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563" w:rsidRPr="00A20E22" w:rsidRDefault="0097516F" w:rsidP="00D4451D">
            <w:pPr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0,</w:t>
            </w:r>
            <w:r w:rsidR="00D4451D">
              <w:rPr>
                <w:sz w:val="24"/>
                <w:szCs w:val="24"/>
              </w:rPr>
              <w:t>0</w:t>
            </w:r>
          </w:p>
        </w:tc>
      </w:tr>
    </w:tbl>
    <w:p w:rsidR="00F81563" w:rsidRPr="00A20E22" w:rsidRDefault="00F81563" w:rsidP="00F81563">
      <w:pPr>
        <w:widowControl w:val="0"/>
        <w:ind w:firstLine="709"/>
        <w:jc w:val="both"/>
        <w:rPr>
          <w:sz w:val="26"/>
          <w:szCs w:val="26"/>
        </w:rPr>
      </w:pPr>
    </w:p>
    <w:p w:rsidR="00F81563" w:rsidRPr="00A20E22" w:rsidRDefault="00F81563" w:rsidP="00F81563">
      <w:pPr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>Индекс производства по итогам I полугодия 2019 года составил 100,7</w:t>
      </w:r>
      <w:r w:rsidR="0051561A">
        <w:rPr>
          <w:sz w:val="26"/>
          <w:szCs w:val="26"/>
        </w:rPr>
        <w:t xml:space="preserve"> </w:t>
      </w:r>
      <w:r w:rsidRPr="00A20E22">
        <w:rPr>
          <w:sz w:val="26"/>
          <w:szCs w:val="26"/>
        </w:rPr>
        <w:t>%.</w:t>
      </w:r>
    </w:p>
    <w:p w:rsidR="00F81563" w:rsidRPr="00672874" w:rsidRDefault="00F81563" w:rsidP="00F81563">
      <w:pPr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 xml:space="preserve">В структуре промышленного производства Югры добыча полезных </w:t>
      </w:r>
      <w:r w:rsidRPr="00672874">
        <w:rPr>
          <w:sz w:val="26"/>
          <w:szCs w:val="26"/>
        </w:rPr>
        <w:t>ископаемых занимает 79,7 %.</w:t>
      </w:r>
    </w:p>
    <w:p w:rsidR="00F81563" w:rsidRPr="00A20E22" w:rsidRDefault="00A3343A" w:rsidP="00540F19">
      <w:pPr>
        <w:ind w:firstLine="709"/>
        <w:jc w:val="both"/>
        <w:rPr>
          <w:sz w:val="26"/>
          <w:szCs w:val="26"/>
        </w:rPr>
      </w:pPr>
      <w:r w:rsidRPr="00672874">
        <w:rPr>
          <w:sz w:val="26"/>
          <w:szCs w:val="26"/>
        </w:rPr>
        <w:lastRenderedPageBreak/>
        <w:t>В январе-июне</w:t>
      </w:r>
      <w:r>
        <w:rPr>
          <w:sz w:val="26"/>
          <w:szCs w:val="26"/>
        </w:rPr>
        <w:t xml:space="preserve"> </w:t>
      </w:r>
      <w:r w:rsidR="00F81563" w:rsidRPr="00A20E22">
        <w:rPr>
          <w:sz w:val="26"/>
          <w:szCs w:val="26"/>
        </w:rPr>
        <w:t>2019 года на территории автономного округа добыто 116,7 млн. тонн нефти, что на 1,1 % больше добычи в соответствующем периоде 2018 года</w:t>
      </w:r>
      <w:r w:rsidR="00A932F0">
        <w:rPr>
          <w:rStyle w:val="a8"/>
          <w:sz w:val="26"/>
          <w:szCs w:val="26"/>
        </w:rPr>
        <w:footnoteReference w:id="4"/>
      </w:r>
      <w:r w:rsidR="00F81563" w:rsidRPr="00A20E22">
        <w:rPr>
          <w:sz w:val="26"/>
          <w:szCs w:val="26"/>
        </w:rPr>
        <w:t xml:space="preserve">. Доля Югры в общероссийской добыче нефти – 42,0 %. </w:t>
      </w:r>
    </w:p>
    <w:p w:rsidR="00F81563" w:rsidRPr="00A20E22" w:rsidRDefault="00F81563" w:rsidP="00C8243A">
      <w:pPr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 xml:space="preserve">С начала разработки нефтяных месторождений на территории автономного округа (1964 год) по состоянию на 1 июля 2019 года накопленная добыча нефти – </w:t>
      </w:r>
      <w:r w:rsidR="00C47B7C" w:rsidRPr="00A20E22">
        <w:rPr>
          <w:sz w:val="26"/>
          <w:szCs w:val="26"/>
        </w:rPr>
        <w:t>11</w:t>
      </w:r>
      <w:r w:rsidRPr="00A20E22">
        <w:rPr>
          <w:sz w:val="26"/>
          <w:szCs w:val="26"/>
        </w:rPr>
        <w:t xml:space="preserve">796,6 млн. тонн. Среднесуточная добыча нефти увеличилась на 6,7 </w:t>
      </w:r>
      <w:proofErr w:type="spellStart"/>
      <w:r w:rsidRPr="00A20E22">
        <w:rPr>
          <w:sz w:val="26"/>
          <w:szCs w:val="26"/>
        </w:rPr>
        <w:t>тыс</w:t>
      </w:r>
      <w:proofErr w:type="gramStart"/>
      <w:r w:rsidRPr="00A20E22">
        <w:rPr>
          <w:sz w:val="26"/>
          <w:szCs w:val="26"/>
        </w:rPr>
        <w:t>.т</w:t>
      </w:r>
      <w:proofErr w:type="spellEnd"/>
      <w:proofErr w:type="gramEnd"/>
      <w:r w:rsidRPr="00A20E22">
        <w:rPr>
          <w:sz w:val="26"/>
          <w:szCs w:val="26"/>
        </w:rPr>
        <w:t>/</w:t>
      </w:r>
      <w:proofErr w:type="spellStart"/>
      <w:r w:rsidRPr="00A20E22">
        <w:rPr>
          <w:sz w:val="26"/>
          <w:szCs w:val="26"/>
        </w:rPr>
        <w:t>сут</w:t>
      </w:r>
      <w:proofErr w:type="spellEnd"/>
      <w:r w:rsidRPr="00A20E22">
        <w:rPr>
          <w:sz w:val="26"/>
          <w:szCs w:val="26"/>
        </w:rPr>
        <w:t xml:space="preserve"> относительно показателя в январе-июне 2018 года и составила 644,8 </w:t>
      </w:r>
      <w:proofErr w:type="spellStart"/>
      <w:r w:rsidRPr="00A20E22">
        <w:rPr>
          <w:sz w:val="26"/>
          <w:szCs w:val="26"/>
        </w:rPr>
        <w:t>тыс.т</w:t>
      </w:r>
      <w:proofErr w:type="spellEnd"/>
      <w:r w:rsidRPr="00A20E22">
        <w:rPr>
          <w:sz w:val="26"/>
          <w:szCs w:val="26"/>
        </w:rPr>
        <w:t>/</w:t>
      </w:r>
      <w:proofErr w:type="spellStart"/>
      <w:r w:rsidRPr="00A20E22">
        <w:rPr>
          <w:sz w:val="26"/>
          <w:szCs w:val="26"/>
        </w:rPr>
        <w:t>сут</w:t>
      </w:r>
      <w:proofErr w:type="spellEnd"/>
      <w:r w:rsidRPr="00A20E22">
        <w:rPr>
          <w:sz w:val="26"/>
          <w:szCs w:val="26"/>
        </w:rPr>
        <w:t>.</w:t>
      </w:r>
    </w:p>
    <w:p w:rsidR="00F81563" w:rsidRPr="00A20E22" w:rsidRDefault="00F81563" w:rsidP="00F81563">
      <w:pPr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 xml:space="preserve">ПАО «НК «Роснефть», </w:t>
      </w:r>
      <w:r w:rsidR="00672874">
        <w:rPr>
          <w:sz w:val="26"/>
          <w:szCs w:val="26"/>
        </w:rPr>
        <w:t>П</w:t>
      </w:r>
      <w:r w:rsidRPr="00A20E22">
        <w:rPr>
          <w:sz w:val="26"/>
          <w:szCs w:val="26"/>
        </w:rPr>
        <w:t>АО «Сургутнефтегаз», ПАО НК «ЛУКОЙЛ» добывают 80,3 % от всей добычи нефти в автономном округе.</w:t>
      </w:r>
    </w:p>
    <w:p w:rsidR="00F81563" w:rsidRPr="00A20E22" w:rsidRDefault="00F81563" w:rsidP="00F81563">
      <w:pPr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>Объем эксплуатационного бурения в январе-июне 2019 года составил 8213,2 тыс. м, в эксплуатацию введены 2172 новые добывающие скважины, новые месторождения в промышленную эксплуатацию не вводились.</w:t>
      </w:r>
    </w:p>
    <w:p w:rsidR="00F81563" w:rsidRPr="00A20E22" w:rsidRDefault="00F81563" w:rsidP="00F81563">
      <w:pPr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>В январе-июне 2019 года</w:t>
      </w:r>
      <w:r w:rsidR="00672874">
        <w:rPr>
          <w:sz w:val="26"/>
          <w:szCs w:val="26"/>
        </w:rPr>
        <w:t xml:space="preserve"> </w:t>
      </w:r>
      <w:r w:rsidRPr="00A20E22">
        <w:rPr>
          <w:sz w:val="26"/>
          <w:szCs w:val="26"/>
        </w:rPr>
        <w:t xml:space="preserve">добыча </w:t>
      </w:r>
      <w:r w:rsidR="00E95CF8" w:rsidRPr="00A20E22">
        <w:rPr>
          <w:sz w:val="26"/>
          <w:szCs w:val="26"/>
        </w:rPr>
        <w:t xml:space="preserve">(извлечено) </w:t>
      </w:r>
      <w:r w:rsidRPr="00A20E22">
        <w:rPr>
          <w:sz w:val="26"/>
          <w:szCs w:val="26"/>
        </w:rPr>
        <w:t>попутного нефтяного и природного газа в автономном округе составила 18,1 млрд. куб. м. Из них попутного нефтяного газа добыто 17,7 млрд. куб. м (уровень использования – 96,6</w:t>
      </w:r>
      <w:r w:rsidR="00FB3989">
        <w:rPr>
          <w:sz w:val="26"/>
          <w:szCs w:val="26"/>
        </w:rPr>
        <w:t> </w:t>
      </w:r>
      <w:r w:rsidRPr="00A20E22">
        <w:rPr>
          <w:sz w:val="26"/>
          <w:szCs w:val="26"/>
        </w:rPr>
        <w:t>%), природного газа – 0,4 млрд. куб. м.</w:t>
      </w:r>
    </w:p>
    <w:p w:rsidR="00F81563" w:rsidRPr="00A20E22" w:rsidRDefault="00F81563" w:rsidP="00F81563">
      <w:pPr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 xml:space="preserve">Предприятиями электроэнергетики автономного округа произведено 43,6 млрд. </w:t>
      </w:r>
      <w:proofErr w:type="spellStart"/>
      <w:r w:rsidRPr="00A20E22">
        <w:rPr>
          <w:sz w:val="26"/>
          <w:szCs w:val="26"/>
        </w:rPr>
        <w:t>кВтч</w:t>
      </w:r>
      <w:proofErr w:type="spellEnd"/>
      <w:r w:rsidRPr="00A20E22">
        <w:rPr>
          <w:sz w:val="26"/>
          <w:szCs w:val="26"/>
        </w:rPr>
        <w:t xml:space="preserve"> электроэнергии</w:t>
      </w:r>
      <w:r w:rsidRPr="00A20E22">
        <w:rPr>
          <w:rStyle w:val="a8"/>
          <w:sz w:val="26"/>
          <w:szCs w:val="26"/>
        </w:rPr>
        <w:footnoteReference w:id="5"/>
      </w:r>
      <w:r w:rsidRPr="00A20E22">
        <w:rPr>
          <w:sz w:val="26"/>
          <w:szCs w:val="26"/>
        </w:rPr>
        <w:t>, что на 2,1 % больше, чем в со</w:t>
      </w:r>
      <w:r w:rsidR="00F01E65" w:rsidRPr="00A20E22">
        <w:rPr>
          <w:sz w:val="26"/>
          <w:szCs w:val="26"/>
        </w:rPr>
        <w:t>ответствующем периоде 2018 года</w:t>
      </w:r>
      <w:r w:rsidRPr="00A20E22">
        <w:rPr>
          <w:bCs/>
          <w:iCs/>
          <w:sz w:val="26"/>
          <w:szCs w:val="26"/>
        </w:rPr>
        <w:t xml:space="preserve">. </w:t>
      </w:r>
    </w:p>
    <w:p w:rsidR="00F81563" w:rsidRPr="00A20E22" w:rsidRDefault="00F81563" w:rsidP="00F81563">
      <w:pPr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 xml:space="preserve">Основную долю выработки электроэнергии (86,0 %) обеспечивают ГРЭС – </w:t>
      </w:r>
      <w:proofErr w:type="spellStart"/>
      <w:r w:rsidRPr="00A20E22">
        <w:rPr>
          <w:sz w:val="26"/>
          <w:szCs w:val="26"/>
        </w:rPr>
        <w:t>Сургутская</w:t>
      </w:r>
      <w:proofErr w:type="spellEnd"/>
      <w:r w:rsidRPr="00A20E22">
        <w:rPr>
          <w:sz w:val="26"/>
          <w:szCs w:val="26"/>
        </w:rPr>
        <w:t xml:space="preserve"> ГРЭС-1, </w:t>
      </w:r>
      <w:proofErr w:type="spellStart"/>
      <w:r w:rsidRPr="00A20E22">
        <w:rPr>
          <w:sz w:val="26"/>
          <w:szCs w:val="26"/>
        </w:rPr>
        <w:t>Сургутская</w:t>
      </w:r>
      <w:proofErr w:type="spellEnd"/>
      <w:r w:rsidRPr="00A20E22">
        <w:rPr>
          <w:sz w:val="26"/>
          <w:szCs w:val="26"/>
        </w:rPr>
        <w:t xml:space="preserve"> ГРЭС-2, </w:t>
      </w:r>
      <w:proofErr w:type="spellStart"/>
      <w:r w:rsidRPr="00A20E22">
        <w:rPr>
          <w:sz w:val="26"/>
          <w:szCs w:val="26"/>
        </w:rPr>
        <w:t>Нижневартовская</w:t>
      </w:r>
      <w:proofErr w:type="spellEnd"/>
      <w:r w:rsidRPr="00A20E22">
        <w:rPr>
          <w:sz w:val="26"/>
          <w:szCs w:val="26"/>
        </w:rPr>
        <w:t xml:space="preserve"> ГРЭС и </w:t>
      </w:r>
      <w:proofErr w:type="spellStart"/>
      <w:r w:rsidRPr="00A20E22">
        <w:rPr>
          <w:sz w:val="26"/>
          <w:szCs w:val="26"/>
        </w:rPr>
        <w:t>Няганская</w:t>
      </w:r>
      <w:proofErr w:type="spellEnd"/>
      <w:r w:rsidRPr="00A20E22">
        <w:rPr>
          <w:sz w:val="26"/>
          <w:szCs w:val="26"/>
        </w:rPr>
        <w:t xml:space="preserve"> ГРЭС, общей установленной мощностью 12,2 тыс. МВт. Предприятиями нефтегазового комплекса эксплуатируется 48 газотурбинных и </w:t>
      </w:r>
      <w:proofErr w:type="spellStart"/>
      <w:r w:rsidRPr="00A20E22">
        <w:rPr>
          <w:sz w:val="26"/>
          <w:szCs w:val="26"/>
        </w:rPr>
        <w:t>газопоршневых</w:t>
      </w:r>
      <w:proofErr w:type="spellEnd"/>
      <w:r w:rsidRPr="00A20E22">
        <w:rPr>
          <w:sz w:val="26"/>
          <w:szCs w:val="26"/>
        </w:rPr>
        <w:t xml:space="preserve"> электростанций общей установленной мощностью 1,6 тыс. МВт, или 11,5 % от общей установленной мощности генерирующих объектов автономного округа. </w:t>
      </w:r>
    </w:p>
    <w:p w:rsidR="00F81563" w:rsidRPr="00A20E22" w:rsidRDefault="00F81563" w:rsidP="00F81563">
      <w:pPr>
        <w:widowControl w:val="0"/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 xml:space="preserve">Наибольшая доля в структуре электропотребления приходится на промышленных потребителей – почти 86,1 %. Генерирующие мощности Югры с запасом перекрывают собственные потребности региона. </w:t>
      </w:r>
    </w:p>
    <w:p w:rsidR="00F81563" w:rsidRPr="00A20E22" w:rsidRDefault="00F81563" w:rsidP="00F81563">
      <w:pPr>
        <w:widowControl w:val="0"/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 xml:space="preserve">Пара и горячей воды произведено 12,2 млн. Гкал, что на 6,4 % меньше, чем в январе-июне 2018 года. Основной объем в структуре потребления тепловой энергии составляет население. </w:t>
      </w:r>
    </w:p>
    <w:p w:rsidR="00F81563" w:rsidRPr="00A3343A" w:rsidRDefault="00F81563" w:rsidP="00F81563">
      <w:pPr>
        <w:ind w:firstLine="709"/>
        <w:jc w:val="both"/>
        <w:rPr>
          <w:sz w:val="28"/>
          <w:szCs w:val="28"/>
        </w:rPr>
      </w:pPr>
      <w:r w:rsidRPr="00A20E22">
        <w:rPr>
          <w:sz w:val="26"/>
          <w:szCs w:val="26"/>
        </w:rPr>
        <w:t xml:space="preserve">Наибольший вес в структуре объема отгруженной продукции обрабатывающего сектора занимает производство нефтепродуктов – 90,5 % (13,7 % от объёма отгруженных товаров промышленного производства автономного округа). </w:t>
      </w:r>
    </w:p>
    <w:p w:rsidR="00F81563" w:rsidRPr="00672874" w:rsidRDefault="00F81563" w:rsidP="00F81563">
      <w:pPr>
        <w:pStyle w:val="aff0"/>
        <w:ind w:firstLine="709"/>
        <w:rPr>
          <w:sz w:val="26"/>
          <w:szCs w:val="26"/>
        </w:rPr>
      </w:pPr>
      <w:r w:rsidRPr="00A20E22">
        <w:rPr>
          <w:sz w:val="26"/>
          <w:szCs w:val="26"/>
        </w:rPr>
        <w:t xml:space="preserve">В Югре </w:t>
      </w:r>
      <w:r w:rsidRPr="00672874">
        <w:rPr>
          <w:sz w:val="26"/>
          <w:szCs w:val="26"/>
        </w:rPr>
        <w:t>действуют 6 нефтеперерабатывающих предприятий, которыми в январе-июне 2019 года переработано 2959,3 тыс. тонн нефти и выработано 866 тыс. тонн нефтепродуктов. Объём переработки нефти уменьшился на 27,3 тыс. тонн или на 0,9 %, глубина переработки составила 29,3 %.</w:t>
      </w:r>
    </w:p>
    <w:p w:rsidR="00F81563" w:rsidRPr="00672874" w:rsidRDefault="00F81563" w:rsidP="00F81563">
      <w:pPr>
        <w:ind w:firstLine="709"/>
        <w:jc w:val="both"/>
        <w:rPr>
          <w:sz w:val="26"/>
          <w:szCs w:val="26"/>
        </w:rPr>
      </w:pPr>
      <w:r w:rsidRPr="00672874">
        <w:rPr>
          <w:sz w:val="26"/>
          <w:szCs w:val="26"/>
        </w:rPr>
        <w:t>Основная доля (84,1 %) в общем объеме переработки нефти приходится н</w:t>
      </w:r>
      <w:proofErr w:type="gramStart"/>
      <w:r w:rsidRPr="00672874">
        <w:rPr>
          <w:sz w:val="26"/>
          <w:szCs w:val="26"/>
        </w:rPr>
        <w:t>а ООО</w:t>
      </w:r>
      <w:proofErr w:type="gramEnd"/>
      <w:r w:rsidRPr="00672874">
        <w:rPr>
          <w:sz w:val="26"/>
          <w:szCs w:val="26"/>
        </w:rPr>
        <w:t xml:space="preserve"> «</w:t>
      </w:r>
      <w:proofErr w:type="spellStart"/>
      <w:r w:rsidRPr="00672874">
        <w:rPr>
          <w:sz w:val="26"/>
          <w:szCs w:val="26"/>
        </w:rPr>
        <w:t>Нижневартовское</w:t>
      </w:r>
      <w:proofErr w:type="spellEnd"/>
      <w:r w:rsidRPr="00672874">
        <w:rPr>
          <w:sz w:val="26"/>
          <w:szCs w:val="26"/>
        </w:rPr>
        <w:t xml:space="preserve"> нефтеперерабатывающее объединение» </w:t>
      </w:r>
      <w:proofErr w:type="spellStart"/>
      <w:r w:rsidRPr="00672874">
        <w:rPr>
          <w:sz w:val="26"/>
          <w:szCs w:val="26"/>
        </w:rPr>
        <w:t>ПАО</w:t>
      </w:r>
      <w:proofErr w:type="spellEnd"/>
      <w:r w:rsidRPr="00672874">
        <w:rPr>
          <w:sz w:val="26"/>
          <w:szCs w:val="26"/>
        </w:rPr>
        <w:t xml:space="preserve"> «НК «Роснефть». </w:t>
      </w:r>
    </w:p>
    <w:p w:rsidR="00F81563" w:rsidRPr="00672874" w:rsidRDefault="00F81563" w:rsidP="00F81563">
      <w:pPr>
        <w:ind w:firstLine="709"/>
        <w:jc w:val="both"/>
        <w:rPr>
          <w:sz w:val="26"/>
          <w:szCs w:val="26"/>
        </w:rPr>
      </w:pPr>
      <w:r w:rsidRPr="00672874">
        <w:rPr>
          <w:sz w:val="26"/>
          <w:szCs w:val="26"/>
        </w:rPr>
        <w:lastRenderedPageBreak/>
        <w:t xml:space="preserve">Основная доля (66,0 %) в общем объёме переработки попутного нефтяного газа приходится на УПГ </w:t>
      </w:r>
      <w:r w:rsidR="00672874" w:rsidRPr="00672874">
        <w:rPr>
          <w:sz w:val="26"/>
          <w:szCs w:val="26"/>
        </w:rPr>
        <w:t>П</w:t>
      </w:r>
      <w:r w:rsidRPr="00672874">
        <w:rPr>
          <w:sz w:val="26"/>
          <w:szCs w:val="26"/>
        </w:rPr>
        <w:t xml:space="preserve">АО «Сургутнефтегаз», ОАО «Нижневартовский ГПК» и ОАО «Белозерный </w:t>
      </w:r>
      <w:proofErr w:type="spellStart"/>
      <w:r w:rsidRPr="00672874">
        <w:rPr>
          <w:sz w:val="26"/>
          <w:szCs w:val="26"/>
        </w:rPr>
        <w:t>ГПК</w:t>
      </w:r>
      <w:proofErr w:type="spellEnd"/>
      <w:r w:rsidRPr="00672874">
        <w:rPr>
          <w:sz w:val="26"/>
          <w:szCs w:val="26"/>
        </w:rPr>
        <w:t>»</w:t>
      </w:r>
      <w:r w:rsidR="00FB3989">
        <w:rPr>
          <w:sz w:val="26"/>
          <w:szCs w:val="26"/>
        </w:rPr>
        <w:t>,</w:t>
      </w:r>
      <w:r w:rsidRPr="00672874">
        <w:rPr>
          <w:sz w:val="26"/>
          <w:szCs w:val="26"/>
        </w:rPr>
        <w:t xml:space="preserve"> АО «</w:t>
      </w:r>
      <w:proofErr w:type="spellStart"/>
      <w:r w:rsidRPr="00672874">
        <w:rPr>
          <w:sz w:val="26"/>
          <w:szCs w:val="26"/>
        </w:rPr>
        <w:t>СибурТюменьГаз</w:t>
      </w:r>
      <w:proofErr w:type="spellEnd"/>
      <w:r w:rsidRPr="00672874">
        <w:rPr>
          <w:sz w:val="26"/>
          <w:szCs w:val="26"/>
        </w:rPr>
        <w:t>».</w:t>
      </w:r>
    </w:p>
    <w:p w:rsidR="00F81563" w:rsidRPr="00A20E22" w:rsidRDefault="00F81563" w:rsidP="00F81563">
      <w:pPr>
        <w:pStyle w:val="afe"/>
        <w:ind w:firstLine="709"/>
        <w:rPr>
          <w:sz w:val="26"/>
          <w:szCs w:val="26"/>
        </w:rPr>
      </w:pPr>
      <w:r w:rsidRPr="00672874">
        <w:rPr>
          <w:sz w:val="26"/>
          <w:szCs w:val="26"/>
        </w:rPr>
        <w:t xml:space="preserve">Переработка газового конденсата осуществляется на </w:t>
      </w:r>
      <w:proofErr w:type="spellStart"/>
      <w:r w:rsidRPr="00672874">
        <w:rPr>
          <w:sz w:val="26"/>
          <w:szCs w:val="26"/>
        </w:rPr>
        <w:t>Сургутском</w:t>
      </w:r>
      <w:proofErr w:type="spellEnd"/>
      <w:r w:rsidRPr="00672874">
        <w:rPr>
          <w:sz w:val="26"/>
          <w:szCs w:val="26"/>
        </w:rPr>
        <w:t xml:space="preserve"> заводе стабилизации газового конденсата</w:t>
      </w:r>
      <w:r w:rsidR="00FB3989">
        <w:rPr>
          <w:sz w:val="26"/>
          <w:szCs w:val="26"/>
        </w:rPr>
        <w:t xml:space="preserve"> (далее – Сургутский </w:t>
      </w:r>
      <w:proofErr w:type="spellStart"/>
      <w:r w:rsidR="00FB3989">
        <w:rPr>
          <w:sz w:val="26"/>
          <w:szCs w:val="26"/>
        </w:rPr>
        <w:t>ЗСК</w:t>
      </w:r>
      <w:proofErr w:type="spellEnd"/>
      <w:r w:rsidR="00FB3989">
        <w:rPr>
          <w:sz w:val="26"/>
          <w:szCs w:val="26"/>
        </w:rPr>
        <w:t>)</w:t>
      </w:r>
      <w:r w:rsidRPr="00672874">
        <w:rPr>
          <w:sz w:val="26"/>
          <w:szCs w:val="26"/>
        </w:rPr>
        <w:t>, который остаётся лидером по объёму производства светлых нефтепродуктов. В</w:t>
      </w:r>
      <w:r w:rsidR="009676F9" w:rsidRPr="00672874">
        <w:rPr>
          <w:sz w:val="26"/>
          <w:szCs w:val="26"/>
        </w:rPr>
        <w:t xml:space="preserve"> январе-июне</w:t>
      </w:r>
      <w:r w:rsidR="00672874" w:rsidRPr="00672874">
        <w:rPr>
          <w:sz w:val="26"/>
          <w:szCs w:val="26"/>
        </w:rPr>
        <w:t xml:space="preserve"> </w:t>
      </w:r>
      <w:r w:rsidRPr="00672874">
        <w:rPr>
          <w:sz w:val="26"/>
          <w:szCs w:val="26"/>
        </w:rPr>
        <w:t>2019</w:t>
      </w:r>
      <w:r w:rsidRPr="00A20E22">
        <w:rPr>
          <w:sz w:val="26"/>
          <w:szCs w:val="26"/>
        </w:rPr>
        <w:t xml:space="preserve"> года заводом переработано </w:t>
      </w:r>
      <w:r w:rsidRPr="00A20E22">
        <w:rPr>
          <w:sz w:val="28"/>
          <w:szCs w:val="28"/>
        </w:rPr>
        <w:t>5,1</w:t>
      </w:r>
      <w:r w:rsidRPr="00A20E22">
        <w:rPr>
          <w:sz w:val="26"/>
          <w:szCs w:val="26"/>
        </w:rPr>
        <w:t xml:space="preserve"> млн. тонн газового конденсата, по сравнению с соответствующим периодом 2018 года объём переработки увеличился на 10,4 %. </w:t>
      </w:r>
    </w:p>
    <w:p w:rsidR="00F81563" w:rsidRPr="00A20E22" w:rsidRDefault="00F81563" w:rsidP="00F81563">
      <w:pPr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>Около 95,0</w:t>
      </w:r>
      <w:r w:rsidR="00E31978">
        <w:rPr>
          <w:sz w:val="26"/>
          <w:szCs w:val="26"/>
        </w:rPr>
        <w:t> </w:t>
      </w:r>
      <w:r w:rsidRPr="00A20E22">
        <w:rPr>
          <w:sz w:val="26"/>
          <w:szCs w:val="26"/>
        </w:rPr>
        <w:t xml:space="preserve">% автомобильного бензина, произведенного в автономном округе, приходится на Сургутский </w:t>
      </w:r>
      <w:proofErr w:type="spellStart"/>
      <w:r w:rsidRPr="00A20E22">
        <w:rPr>
          <w:sz w:val="26"/>
          <w:szCs w:val="26"/>
        </w:rPr>
        <w:t>ЗСК</w:t>
      </w:r>
      <w:proofErr w:type="spellEnd"/>
      <w:r w:rsidRPr="00A20E22">
        <w:rPr>
          <w:sz w:val="26"/>
          <w:szCs w:val="26"/>
        </w:rPr>
        <w:t>.</w:t>
      </w:r>
    </w:p>
    <w:p w:rsidR="00F81563" w:rsidRPr="00A20E22" w:rsidRDefault="00F81563" w:rsidP="00F81563">
      <w:pPr>
        <w:widowControl w:val="0"/>
        <w:jc w:val="right"/>
        <w:rPr>
          <w:sz w:val="26"/>
          <w:szCs w:val="26"/>
        </w:rPr>
      </w:pPr>
      <w:r w:rsidRPr="00A20E22">
        <w:rPr>
          <w:sz w:val="26"/>
          <w:szCs w:val="26"/>
        </w:rPr>
        <w:t>Таблица 3</w:t>
      </w:r>
    </w:p>
    <w:p w:rsidR="00F81563" w:rsidRPr="00A20E22" w:rsidRDefault="00F81563" w:rsidP="00F81563">
      <w:pPr>
        <w:widowControl w:val="0"/>
        <w:jc w:val="center"/>
        <w:rPr>
          <w:sz w:val="26"/>
          <w:szCs w:val="26"/>
        </w:rPr>
      </w:pPr>
      <w:r w:rsidRPr="00A20E22">
        <w:rPr>
          <w:sz w:val="26"/>
          <w:szCs w:val="26"/>
        </w:rPr>
        <w:t>Динамика производства продукции переработки нефти,</w:t>
      </w:r>
    </w:p>
    <w:p w:rsidR="00F81563" w:rsidRDefault="00F81563" w:rsidP="00F81563">
      <w:pPr>
        <w:widowControl w:val="0"/>
        <w:jc w:val="center"/>
        <w:rPr>
          <w:sz w:val="26"/>
          <w:szCs w:val="26"/>
        </w:rPr>
      </w:pPr>
      <w:r w:rsidRPr="00A20E22">
        <w:rPr>
          <w:sz w:val="26"/>
          <w:szCs w:val="26"/>
        </w:rPr>
        <w:t>газа и газового конденсата</w:t>
      </w:r>
      <w:r w:rsidRPr="00A20E22">
        <w:rPr>
          <w:rStyle w:val="a8"/>
          <w:sz w:val="26"/>
          <w:szCs w:val="26"/>
        </w:rPr>
        <w:footnoteReference w:id="6"/>
      </w:r>
    </w:p>
    <w:p w:rsidR="001263E9" w:rsidRPr="00A20E22" w:rsidRDefault="001263E9" w:rsidP="00F81563">
      <w:pPr>
        <w:widowControl w:val="0"/>
        <w:jc w:val="center"/>
        <w:rPr>
          <w:sz w:val="26"/>
          <w:szCs w:val="26"/>
        </w:rPr>
      </w:pP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14"/>
        <w:gridCol w:w="1608"/>
        <w:gridCol w:w="1752"/>
        <w:gridCol w:w="1614"/>
        <w:gridCol w:w="1161"/>
      </w:tblGrid>
      <w:tr w:rsidR="009676F9" w:rsidRPr="00A20E22" w:rsidTr="00D572E1">
        <w:trPr>
          <w:tblHeader/>
        </w:trPr>
        <w:tc>
          <w:tcPr>
            <w:tcW w:w="1719" w:type="pct"/>
            <w:vAlign w:val="center"/>
          </w:tcPr>
          <w:p w:rsidR="009676F9" w:rsidRPr="00A20E22" w:rsidRDefault="009676F9" w:rsidP="00D572E1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Показатели</w:t>
            </w:r>
          </w:p>
        </w:tc>
        <w:tc>
          <w:tcPr>
            <w:tcW w:w="860" w:type="pct"/>
            <w:vAlign w:val="center"/>
          </w:tcPr>
          <w:p w:rsidR="009676F9" w:rsidRPr="00A20E22" w:rsidRDefault="009676F9" w:rsidP="00D572E1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Ед. измерения</w:t>
            </w:r>
          </w:p>
        </w:tc>
        <w:tc>
          <w:tcPr>
            <w:tcW w:w="937" w:type="pct"/>
            <w:vAlign w:val="center"/>
          </w:tcPr>
          <w:p w:rsidR="009676F9" w:rsidRPr="00A20E22" w:rsidRDefault="009676F9" w:rsidP="00D572E1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январь-июнь 2018</w:t>
            </w:r>
          </w:p>
        </w:tc>
        <w:tc>
          <w:tcPr>
            <w:tcW w:w="863" w:type="pct"/>
            <w:vAlign w:val="center"/>
          </w:tcPr>
          <w:p w:rsidR="009676F9" w:rsidRPr="00A20E22" w:rsidRDefault="009676F9" w:rsidP="00D572E1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январь-июнь 2019</w:t>
            </w:r>
          </w:p>
        </w:tc>
        <w:tc>
          <w:tcPr>
            <w:tcW w:w="621" w:type="pct"/>
            <w:vAlign w:val="center"/>
          </w:tcPr>
          <w:p w:rsidR="009676F9" w:rsidRPr="001263E9" w:rsidRDefault="009676F9" w:rsidP="00D572E1">
            <w:pPr>
              <w:widowControl w:val="0"/>
              <w:jc w:val="center"/>
              <w:rPr>
                <w:sz w:val="24"/>
                <w:szCs w:val="24"/>
              </w:rPr>
            </w:pPr>
            <w:r w:rsidRPr="001263E9">
              <w:rPr>
                <w:sz w:val="24"/>
                <w:szCs w:val="24"/>
              </w:rPr>
              <w:t>Темп, %</w:t>
            </w:r>
          </w:p>
        </w:tc>
      </w:tr>
      <w:tr w:rsidR="009676F9" w:rsidRPr="00A20E22" w:rsidTr="00D572E1">
        <w:tc>
          <w:tcPr>
            <w:tcW w:w="1719" w:type="pct"/>
          </w:tcPr>
          <w:p w:rsidR="009676F9" w:rsidRPr="00A20E22" w:rsidRDefault="009676F9" w:rsidP="00D572E1">
            <w:pPr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Сжиженный газ</w:t>
            </w:r>
          </w:p>
        </w:tc>
        <w:tc>
          <w:tcPr>
            <w:tcW w:w="860" w:type="pct"/>
          </w:tcPr>
          <w:p w:rsidR="009676F9" w:rsidRPr="00A20E22" w:rsidRDefault="009676F9" w:rsidP="00D572E1">
            <w:pPr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тыс. тонн</w:t>
            </w:r>
          </w:p>
        </w:tc>
        <w:tc>
          <w:tcPr>
            <w:tcW w:w="93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676F9" w:rsidRPr="00A20E22" w:rsidRDefault="009676F9" w:rsidP="00D572E1">
            <w:pPr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1 119,4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676F9" w:rsidRPr="00A20E22" w:rsidRDefault="009676F9" w:rsidP="00D572E1">
            <w:pPr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1 219,5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676F9" w:rsidRPr="001263E9" w:rsidRDefault="009676F9" w:rsidP="00D572E1">
            <w:pPr>
              <w:jc w:val="center"/>
              <w:rPr>
                <w:sz w:val="24"/>
                <w:szCs w:val="24"/>
              </w:rPr>
            </w:pPr>
            <w:r w:rsidRPr="001263E9">
              <w:rPr>
                <w:sz w:val="24"/>
                <w:szCs w:val="24"/>
              </w:rPr>
              <w:t>108,9</w:t>
            </w:r>
          </w:p>
        </w:tc>
      </w:tr>
      <w:tr w:rsidR="009676F9" w:rsidRPr="00A20E22" w:rsidTr="00D572E1">
        <w:tc>
          <w:tcPr>
            <w:tcW w:w="1719" w:type="pct"/>
          </w:tcPr>
          <w:p w:rsidR="009676F9" w:rsidRPr="00A20E22" w:rsidRDefault="009676F9" w:rsidP="00D572E1">
            <w:pPr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ШФЛУ</w:t>
            </w:r>
          </w:p>
        </w:tc>
        <w:tc>
          <w:tcPr>
            <w:tcW w:w="860" w:type="pct"/>
          </w:tcPr>
          <w:p w:rsidR="009676F9" w:rsidRPr="00A20E22" w:rsidRDefault="009676F9" w:rsidP="00D572E1">
            <w:pPr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тыс. тонн</w:t>
            </w:r>
          </w:p>
        </w:tc>
        <w:tc>
          <w:tcPr>
            <w:tcW w:w="93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676F9" w:rsidRPr="00A20E22" w:rsidRDefault="009676F9" w:rsidP="00D572E1">
            <w:pPr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2 878,0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676F9" w:rsidRPr="00A20E22" w:rsidRDefault="009676F9" w:rsidP="00D572E1">
            <w:pPr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2 991,7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676F9" w:rsidRPr="001263E9" w:rsidRDefault="009676F9" w:rsidP="00D572E1">
            <w:pPr>
              <w:jc w:val="center"/>
              <w:rPr>
                <w:sz w:val="24"/>
                <w:szCs w:val="24"/>
              </w:rPr>
            </w:pPr>
            <w:r w:rsidRPr="001263E9">
              <w:rPr>
                <w:sz w:val="24"/>
                <w:szCs w:val="24"/>
              </w:rPr>
              <w:t>103,9</w:t>
            </w:r>
          </w:p>
        </w:tc>
      </w:tr>
      <w:tr w:rsidR="009676F9" w:rsidRPr="00A20E22" w:rsidTr="00D572E1">
        <w:tc>
          <w:tcPr>
            <w:tcW w:w="1719" w:type="pct"/>
          </w:tcPr>
          <w:p w:rsidR="009676F9" w:rsidRPr="00A20E22" w:rsidRDefault="009676F9" w:rsidP="00D572E1">
            <w:pPr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Сухой газ</w:t>
            </w:r>
          </w:p>
        </w:tc>
        <w:tc>
          <w:tcPr>
            <w:tcW w:w="860" w:type="pct"/>
          </w:tcPr>
          <w:p w:rsidR="009676F9" w:rsidRPr="00A20E22" w:rsidRDefault="009676F9" w:rsidP="00D572E1">
            <w:pPr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млн. куб. м</w:t>
            </w:r>
          </w:p>
        </w:tc>
        <w:tc>
          <w:tcPr>
            <w:tcW w:w="93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676F9" w:rsidRPr="00A20E22" w:rsidRDefault="009676F9" w:rsidP="00D572E1">
            <w:pPr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10 803,0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676F9" w:rsidRPr="00A20E22" w:rsidRDefault="009676F9" w:rsidP="00D572E1">
            <w:pPr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10 880,0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676F9" w:rsidRPr="001263E9" w:rsidRDefault="009676F9" w:rsidP="00D572E1">
            <w:pPr>
              <w:jc w:val="center"/>
              <w:rPr>
                <w:sz w:val="24"/>
                <w:szCs w:val="24"/>
              </w:rPr>
            </w:pPr>
            <w:r w:rsidRPr="001263E9">
              <w:rPr>
                <w:sz w:val="24"/>
                <w:szCs w:val="24"/>
              </w:rPr>
              <w:t>100,7</w:t>
            </w:r>
          </w:p>
        </w:tc>
      </w:tr>
      <w:tr w:rsidR="009676F9" w:rsidRPr="00A20E22" w:rsidTr="00D572E1">
        <w:tc>
          <w:tcPr>
            <w:tcW w:w="1719" w:type="pct"/>
          </w:tcPr>
          <w:p w:rsidR="009676F9" w:rsidRPr="00A20E22" w:rsidRDefault="009676F9" w:rsidP="00D572E1">
            <w:pPr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Бензин автомобильный</w:t>
            </w:r>
          </w:p>
        </w:tc>
        <w:tc>
          <w:tcPr>
            <w:tcW w:w="860" w:type="pct"/>
          </w:tcPr>
          <w:p w:rsidR="009676F9" w:rsidRPr="00A20E22" w:rsidRDefault="009676F9" w:rsidP="00D572E1">
            <w:pPr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тыс. тонн</w:t>
            </w:r>
          </w:p>
        </w:tc>
        <w:tc>
          <w:tcPr>
            <w:tcW w:w="93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676F9" w:rsidRPr="00A20E22" w:rsidRDefault="009676F9" w:rsidP="00D572E1">
            <w:pPr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737,8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676F9" w:rsidRPr="00A20E22" w:rsidRDefault="009676F9" w:rsidP="00D572E1">
            <w:pPr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734,1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676F9" w:rsidRPr="001263E9" w:rsidRDefault="009676F9" w:rsidP="00D572E1">
            <w:pPr>
              <w:jc w:val="center"/>
              <w:rPr>
                <w:sz w:val="24"/>
                <w:szCs w:val="24"/>
              </w:rPr>
            </w:pPr>
            <w:r w:rsidRPr="001263E9">
              <w:rPr>
                <w:sz w:val="24"/>
                <w:szCs w:val="24"/>
              </w:rPr>
              <w:t>99,5</w:t>
            </w:r>
          </w:p>
        </w:tc>
      </w:tr>
      <w:tr w:rsidR="009676F9" w:rsidRPr="00A20E22" w:rsidTr="00D572E1">
        <w:tc>
          <w:tcPr>
            <w:tcW w:w="1719" w:type="pct"/>
          </w:tcPr>
          <w:p w:rsidR="009676F9" w:rsidRPr="00A20E22" w:rsidRDefault="009676F9" w:rsidP="00D572E1">
            <w:pPr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Дизельное топливо</w:t>
            </w:r>
          </w:p>
        </w:tc>
        <w:tc>
          <w:tcPr>
            <w:tcW w:w="860" w:type="pct"/>
          </w:tcPr>
          <w:p w:rsidR="009676F9" w:rsidRPr="00A20E22" w:rsidRDefault="009676F9" w:rsidP="00D572E1">
            <w:pPr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тыс. тонн</w:t>
            </w:r>
          </w:p>
        </w:tc>
        <w:tc>
          <w:tcPr>
            <w:tcW w:w="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676F9" w:rsidRPr="00A20E22" w:rsidRDefault="009676F9" w:rsidP="00D572E1">
            <w:pPr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830,9</w:t>
            </w:r>
          </w:p>
        </w:tc>
        <w:tc>
          <w:tcPr>
            <w:tcW w:w="8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676F9" w:rsidRPr="00A20E22" w:rsidRDefault="009676F9" w:rsidP="00D572E1">
            <w:pPr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799,1</w:t>
            </w:r>
          </w:p>
        </w:tc>
        <w:tc>
          <w:tcPr>
            <w:tcW w:w="62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676F9" w:rsidRPr="001263E9" w:rsidRDefault="009676F9" w:rsidP="00D572E1">
            <w:pPr>
              <w:jc w:val="center"/>
              <w:rPr>
                <w:sz w:val="24"/>
                <w:szCs w:val="24"/>
              </w:rPr>
            </w:pPr>
            <w:r w:rsidRPr="001263E9">
              <w:rPr>
                <w:sz w:val="24"/>
                <w:szCs w:val="24"/>
              </w:rPr>
              <w:t>96,2</w:t>
            </w:r>
          </w:p>
        </w:tc>
      </w:tr>
      <w:tr w:rsidR="009676F9" w:rsidRPr="00A20E22" w:rsidTr="00D572E1">
        <w:tc>
          <w:tcPr>
            <w:tcW w:w="1719" w:type="pct"/>
          </w:tcPr>
          <w:p w:rsidR="009676F9" w:rsidRPr="00A20E22" w:rsidRDefault="009676F9" w:rsidP="00D572E1">
            <w:pPr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Керосин авиационный ТС-1</w:t>
            </w:r>
          </w:p>
        </w:tc>
        <w:tc>
          <w:tcPr>
            <w:tcW w:w="860" w:type="pct"/>
          </w:tcPr>
          <w:p w:rsidR="009676F9" w:rsidRPr="00A20E22" w:rsidRDefault="009676F9" w:rsidP="00D572E1">
            <w:pPr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тыс. тонн</w:t>
            </w:r>
          </w:p>
        </w:tc>
        <w:tc>
          <w:tcPr>
            <w:tcW w:w="93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676F9" w:rsidRPr="00A20E22" w:rsidRDefault="009676F9" w:rsidP="00D572E1">
            <w:pPr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112,8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676F9" w:rsidRPr="00A20E22" w:rsidRDefault="009676F9" w:rsidP="00D572E1">
            <w:pPr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100,9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676F9" w:rsidRPr="001263E9" w:rsidRDefault="009676F9" w:rsidP="00D572E1">
            <w:pPr>
              <w:jc w:val="center"/>
              <w:rPr>
                <w:sz w:val="24"/>
                <w:szCs w:val="24"/>
              </w:rPr>
            </w:pPr>
            <w:r w:rsidRPr="001263E9">
              <w:rPr>
                <w:sz w:val="24"/>
                <w:szCs w:val="24"/>
              </w:rPr>
              <w:t>89,4</w:t>
            </w:r>
          </w:p>
        </w:tc>
      </w:tr>
    </w:tbl>
    <w:p w:rsidR="009676F9" w:rsidRPr="00A20E22" w:rsidRDefault="009676F9" w:rsidP="00F81563">
      <w:pPr>
        <w:widowControl w:val="0"/>
        <w:jc w:val="center"/>
        <w:rPr>
          <w:sz w:val="26"/>
          <w:szCs w:val="26"/>
        </w:rPr>
      </w:pPr>
    </w:p>
    <w:p w:rsidR="00F81563" w:rsidRPr="00A20E22" w:rsidRDefault="00F81563" w:rsidP="00F73B39">
      <w:pPr>
        <w:ind w:firstLine="709"/>
        <w:jc w:val="both"/>
        <w:rPr>
          <w:sz w:val="26"/>
          <w:szCs w:val="26"/>
        </w:rPr>
      </w:pPr>
      <w:proofErr w:type="gramStart"/>
      <w:r w:rsidRPr="00A20E22">
        <w:rPr>
          <w:sz w:val="26"/>
          <w:szCs w:val="26"/>
        </w:rPr>
        <w:t>В структуре производства обрабатывающего сектора организации лесопромышленного комплекса занимают 0,9 %. Объем отгруженных товаров собственного производства, выполненных работ и услуг собственными силами по видам экономической деятельности «Обработка древесины и производство изделий из дерева и пробки, кроме мебели» в январе-июне 2019 года составил 3373,3 млн. рублей</w:t>
      </w:r>
      <w:r w:rsidRPr="00A20E22">
        <w:rPr>
          <w:rStyle w:val="a8"/>
          <w:sz w:val="26"/>
          <w:szCs w:val="26"/>
        </w:rPr>
        <w:footnoteReference w:id="7"/>
      </w:r>
      <w:r w:rsidRPr="00A20E22">
        <w:rPr>
          <w:sz w:val="26"/>
          <w:szCs w:val="26"/>
        </w:rPr>
        <w:t>, увеличение по сравнению с соответствующим периодом 2018 года на 1,7 %.</w:t>
      </w:r>
      <w:proofErr w:type="gramEnd"/>
    </w:p>
    <w:p w:rsidR="00F81563" w:rsidRPr="00F73B39" w:rsidRDefault="00F81563" w:rsidP="00F73B39">
      <w:pPr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>Крупнейшим производителем лесопромышленной продукции является АО «Югорский лесопромышленный холдинг», включающее полный производственный цикл от освоения и восстановления лесов до выпуска продукции с высоким уровнем передела</w:t>
      </w:r>
      <w:r w:rsidR="001263E9" w:rsidRPr="001263E9">
        <w:rPr>
          <w:sz w:val="26"/>
          <w:szCs w:val="26"/>
        </w:rPr>
        <w:t>,</w:t>
      </w:r>
      <w:r w:rsidRPr="001263E9">
        <w:rPr>
          <w:sz w:val="26"/>
          <w:szCs w:val="26"/>
        </w:rPr>
        <w:t xml:space="preserve"> </w:t>
      </w:r>
      <w:proofErr w:type="spellStart"/>
      <w:r w:rsidR="009676F9" w:rsidRPr="001263E9">
        <w:rPr>
          <w:sz w:val="26"/>
          <w:szCs w:val="26"/>
        </w:rPr>
        <w:t>няганское</w:t>
      </w:r>
      <w:proofErr w:type="spellEnd"/>
      <w:r w:rsidR="009676F9" w:rsidRPr="001263E9">
        <w:rPr>
          <w:sz w:val="26"/>
          <w:szCs w:val="26"/>
        </w:rPr>
        <w:t xml:space="preserve"> </w:t>
      </w:r>
      <w:r w:rsidRPr="001263E9">
        <w:rPr>
          <w:sz w:val="26"/>
          <w:szCs w:val="26"/>
        </w:rPr>
        <w:t>подразделение которого одним из первых в России и странах ближнего зарубежья занялось производством ЛВЛ-бруса. В настоящее время основная часть продукции, а именно 95</w:t>
      </w:r>
      <w:r w:rsidR="00726338" w:rsidRPr="001263E9">
        <w:rPr>
          <w:sz w:val="26"/>
          <w:szCs w:val="26"/>
        </w:rPr>
        <w:t>,0</w:t>
      </w:r>
      <w:r w:rsidRPr="001263E9">
        <w:rPr>
          <w:sz w:val="26"/>
          <w:szCs w:val="26"/>
        </w:rPr>
        <w:t xml:space="preserve"> % покупателей товара</w:t>
      </w:r>
      <w:r w:rsidR="009676F9" w:rsidRPr="001263E9">
        <w:rPr>
          <w:sz w:val="26"/>
          <w:szCs w:val="26"/>
        </w:rPr>
        <w:t xml:space="preserve"> из</w:t>
      </w:r>
      <w:r w:rsidRPr="001263E9">
        <w:rPr>
          <w:sz w:val="26"/>
          <w:szCs w:val="26"/>
        </w:rPr>
        <w:t xml:space="preserve"> стран Европы, а также </w:t>
      </w:r>
      <w:r w:rsidR="009676F9" w:rsidRPr="001263E9">
        <w:rPr>
          <w:sz w:val="26"/>
          <w:szCs w:val="26"/>
        </w:rPr>
        <w:t>Китайской Народной Республики, Австралийск</w:t>
      </w:r>
      <w:r w:rsidR="00577C33" w:rsidRPr="001263E9">
        <w:rPr>
          <w:sz w:val="26"/>
          <w:szCs w:val="26"/>
        </w:rPr>
        <w:t>ого</w:t>
      </w:r>
      <w:r w:rsidR="009676F9" w:rsidRPr="001263E9">
        <w:rPr>
          <w:sz w:val="26"/>
          <w:szCs w:val="26"/>
        </w:rPr>
        <w:t xml:space="preserve"> Союз</w:t>
      </w:r>
      <w:r w:rsidR="00577C33" w:rsidRPr="001263E9">
        <w:rPr>
          <w:sz w:val="26"/>
          <w:szCs w:val="26"/>
        </w:rPr>
        <w:t>а</w:t>
      </w:r>
      <w:r w:rsidRPr="001263E9">
        <w:rPr>
          <w:sz w:val="26"/>
          <w:szCs w:val="26"/>
        </w:rPr>
        <w:t xml:space="preserve">. </w:t>
      </w:r>
    </w:p>
    <w:p w:rsidR="00F81563" w:rsidRPr="001263E9" w:rsidRDefault="00F81563" w:rsidP="00F73B39">
      <w:pPr>
        <w:ind w:firstLine="709"/>
        <w:jc w:val="both"/>
        <w:rPr>
          <w:sz w:val="26"/>
          <w:szCs w:val="26"/>
        </w:rPr>
      </w:pPr>
      <w:r w:rsidRPr="001263E9">
        <w:rPr>
          <w:sz w:val="26"/>
          <w:szCs w:val="26"/>
        </w:rPr>
        <w:t xml:space="preserve">В структуре объёмов отгруженных товаров обрабатывающего сектора промышленности предприятия по выпуску пищевых продуктов и напитков занимают 0,7 %. </w:t>
      </w:r>
    </w:p>
    <w:p w:rsidR="00F81563" w:rsidRPr="001263E9" w:rsidRDefault="00F81563" w:rsidP="00F73B39">
      <w:pPr>
        <w:ind w:firstLine="709"/>
        <w:jc w:val="both"/>
        <w:rPr>
          <w:sz w:val="26"/>
          <w:szCs w:val="26"/>
        </w:rPr>
      </w:pPr>
      <w:r w:rsidRPr="001263E9">
        <w:rPr>
          <w:sz w:val="26"/>
          <w:szCs w:val="26"/>
        </w:rPr>
        <w:t xml:space="preserve">Среди продуктов молочной отрасли в целом по итогам января-июня 2019 года наблюдается рост показателей в натуральных единицах, значительно </w:t>
      </w:r>
      <w:r w:rsidR="00577C33" w:rsidRPr="001263E9">
        <w:rPr>
          <w:sz w:val="26"/>
          <w:szCs w:val="26"/>
        </w:rPr>
        <w:lastRenderedPageBreak/>
        <w:t xml:space="preserve">увеличилось </w:t>
      </w:r>
      <w:r w:rsidRPr="001263E9">
        <w:rPr>
          <w:sz w:val="26"/>
          <w:szCs w:val="26"/>
        </w:rPr>
        <w:t>производство сливок, сыров, молока, масла сливочного</w:t>
      </w:r>
      <w:r w:rsidR="00CD339C" w:rsidRPr="001263E9">
        <w:rPr>
          <w:sz w:val="26"/>
          <w:szCs w:val="26"/>
        </w:rPr>
        <w:t xml:space="preserve"> и</w:t>
      </w:r>
      <w:r w:rsidRPr="001263E9">
        <w:rPr>
          <w:sz w:val="26"/>
          <w:szCs w:val="26"/>
        </w:rPr>
        <w:t xml:space="preserve"> творог</w:t>
      </w:r>
      <w:r w:rsidRPr="002253CE">
        <w:rPr>
          <w:vertAlign w:val="superscript"/>
        </w:rPr>
        <w:footnoteReference w:id="8"/>
      </w:r>
      <w:r w:rsidRPr="001263E9">
        <w:rPr>
          <w:sz w:val="26"/>
          <w:szCs w:val="26"/>
        </w:rPr>
        <w:t xml:space="preserve"> (</w:t>
      </w:r>
      <w:r w:rsidR="00CD339C" w:rsidRPr="001263E9">
        <w:rPr>
          <w:sz w:val="26"/>
          <w:szCs w:val="26"/>
        </w:rPr>
        <w:t>в 2,3 раза</w:t>
      </w:r>
      <w:r w:rsidRPr="001263E9">
        <w:rPr>
          <w:sz w:val="26"/>
          <w:szCs w:val="26"/>
        </w:rPr>
        <w:t xml:space="preserve">, </w:t>
      </w:r>
      <w:r w:rsidR="00CD339C" w:rsidRPr="001263E9">
        <w:rPr>
          <w:sz w:val="26"/>
          <w:szCs w:val="26"/>
        </w:rPr>
        <w:t xml:space="preserve">на </w:t>
      </w:r>
      <w:r w:rsidRPr="001263E9">
        <w:rPr>
          <w:sz w:val="26"/>
          <w:szCs w:val="26"/>
        </w:rPr>
        <w:t>43,4 %, 36,9 %</w:t>
      </w:r>
      <w:r w:rsidR="00CD339C" w:rsidRPr="001263E9">
        <w:rPr>
          <w:sz w:val="26"/>
          <w:szCs w:val="26"/>
        </w:rPr>
        <w:t>, 20,3 %</w:t>
      </w:r>
      <w:r w:rsidRPr="001263E9">
        <w:rPr>
          <w:sz w:val="26"/>
          <w:szCs w:val="26"/>
        </w:rPr>
        <w:t xml:space="preserve"> и 16,2 % соответственно по сравнению с </w:t>
      </w:r>
      <w:r w:rsidR="00577C33" w:rsidRPr="001263E9">
        <w:rPr>
          <w:sz w:val="26"/>
          <w:szCs w:val="26"/>
        </w:rPr>
        <w:t xml:space="preserve">январем-июнем </w:t>
      </w:r>
      <w:r w:rsidRPr="001263E9">
        <w:rPr>
          <w:sz w:val="26"/>
          <w:szCs w:val="26"/>
        </w:rPr>
        <w:t xml:space="preserve">2018 года). </w:t>
      </w:r>
    </w:p>
    <w:p w:rsidR="00F81563" w:rsidRPr="00A20E22" w:rsidRDefault="00F81563" w:rsidP="00F73B39">
      <w:pPr>
        <w:ind w:firstLine="709"/>
        <w:jc w:val="both"/>
        <w:rPr>
          <w:sz w:val="26"/>
          <w:szCs w:val="26"/>
        </w:rPr>
      </w:pPr>
      <w:r w:rsidRPr="001263E9">
        <w:rPr>
          <w:sz w:val="26"/>
          <w:szCs w:val="26"/>
        </w:rPr>
        <w:t>В мясной отрасли пищевой промышленности также отмечается рост производства, более всего</w:t>
      </w:r>
      <w:r w:rsidRPr="00A20E22">
        <w:rPr>
          <w:sz w:val="26"/>
          <w:szCs w:val="26"/>
        </w:rPr>
        <w:t xml:space="preserve"> мяса и субпродуктов домашней птицы (на 45,9 % по сравнению с соответствующим периодом 2018 года) и </w:t>
      </w:r>
      <w:r w:rsidR="00CD339C" w:rsidRPr="00A20E22">
        <w:rPr>
          <w:sz w:val="26"/>
          <w:szCs w:val="26"/>
        </w:rPr>
        <w:t xml:space="preserve">мяса </w:t>
      </w:r>
      <w:r w:rsidRPr="00A20E22">
        <w:rPr>
          <w:sz w:val="26"/>
          <w:szCs w:val="26"/>
        </w:rPr>
        <w:t xml:space="preserve">крупного рогатого скота (на 22,5 %). Крупным производителем мясной пищевой продукции остается ООО Мясокомбинат «Сургутский». Предприятие производит более 150 наименований продукции, отвечающей по своим качествам российским и международным стандартам. </w:t>
      </w:r>
    </w:p>
    <w:p w:rsidR="00577C33" w:rsidRPr="001263E9" w:rsidRDefault="00F81563" w:rsidP="00F8156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 xml:space="preserve">В </w:t>
      </w:r>
      <w:proofErr w:type="spellStart"/>
      <w:r w:rsidRPr="00A20E22">
        <w:rPr>
          <w:sz w:val="26"/>
          <w:szCs w:val="26"/>
        </w:rPr>
        <w:t>рыбоперерабатывающей</w:t>
      </w:r>
      <w:proofErr w:type="spellEnd"/>
      <w:r w:rsidRPr="00A20E22">
        <w:rPr>
          <w:sz w:val="26"/>
          <w:szCs w:val="26"/>
        </w:rPr>
        <w:t xml:space="preserve"> отрасли пищевой промышленности снижение производства переработанной и консервированной рыбы составило 4,9 %. Хлебопекарная отрасль характеризуется небольшим спадом производства – на 0,7 %, кондитерских изделий произведено на 8,1 % больше, чем </w:t>
      </w:r>
      <w:r w:rsidRPr="001263E9">
        <w:rPr>
          <w:sz w:val="26"/>
          <w:szCs w:val="26"/>
        </w:rPr>
        <w:t xml:space="preserve">в </w:t>
      </w:r>
      <w:r w:rsidR="00577C33" w:rsidRPr="001263E9">
        <w:rPr>
          <w:sz w:val="26"/>
          <w:szCs w:val="26"/>
        </w:rPr>
        <w:t xml:space="preserve">январе-июне </w:t>
      </w:r>
      <w:r w:rsidRPr="001263E9">
        <w:rPr>
          <w:sz w:val="26"/>
          <w:szCs w:val="26"/>
        </w:rPr>
        <w:t xml:space="preserve">2018 года. </w:t>
      </w:r>
    </w:p>
    <w:p w:rsidR="008A10D1" w:rsidRDefault="00F81563" w:rsidP="00217632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>Пищевая промышленность Югры ориентирована на обеспечение продовольственной безопасности населения автономного округа, производство качественной и свежей продукции. В этой сфере осуществляет деятельность порядка 600 предприятий.</w:t>
      </w:r>
    </w:p>
    <w:p w:rsidR="00217632" w:rsidRPr="00A20E22" w:rsidRDefault="00217632" w:rsidP="00217632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A340CA" w:rsidRPr="00A20E22" w:rsidRDefault="00A340CA" w:rsidP="001B58EA">
      <w:pPr>
        <w:pStyle w:val="2"/>
        <w:numPr>
          <w:ilvl w:val="0"/>
          <w:numId w:val="0"/>
        </w:numPr>
        <w:rPr>
          <w:rFonts w:eastAsiaTheme="majorEastAsia"/>
          <w:color w:val="auto"/>
        </w:rPr>
      </w:pPr>
      <w:bookmarkStart w:id="4" w:name="_Toc10912539"/>
      <w:r w:rsidRPr="00A20E22">
        <w:rPr>
          <w:rFonts w:eastAsiaTheme="majorEastAsia"/>
          <w:color w:val="auto"/>
        </w:rPr>
        <w:t>Сельское хозяйство</w:t>
      </w:r>
      <w:bookmarkEnd w:id="4"/>
    </w:p>
    <w:p w:rsidR="00A340CA" w:rsidRPr="00A20E22" w:rsidRDefault="00A340CA" w:rsidP="00276818">
      <w:pPr>
        <w:widowControl w:val="0"/>
        <w:ind w:firstLine="709"/>
        <w:jc w:val="center"/>
        <w:rPr>
          <w:sz w:val="26"/>
          <w:szCs w:val="26"/>
        </w:rPr>
      </w:pPr>
    </w:p>
    <w:p w:rsidR="005E5868" w:rsidRPr="007709B3" w:rsidRDefault="00A90F64" w:rsidP="00A90F64">
      <w:pPr>
        <w:ind w:firstLine="720"/>
        <w:jc w:val="both"/>
        <w:rPr>
          <w:sz w:val="26"/>
          <w:szCs w:val="26"/>
        </w:rPr>
      </w:pPr>
      <w:r w:rsidRPr="00A20E22">
        <w:rPr>
          <w:sz w:val="26"/>
          <w:szCs w:val="26"/>
        </w:rPr>
        <w:t>Поголовье крупного рогатого скота в хозяйствах всех категорий в июне 2019 года</w:t>
      </w:r>
      <w:r w:rsidRPr="00A20E22">
        <w:rPr>
          <w:rStyle w:val="a8"/>
          <w:sz w:val="26"/>
          <w:szCs w:val="26"/>
        </w:rPr>
        <w:footnoteReference w:id="9"/>
      </w:r>
      <w:r w:rsidRPr="00A20E22">
        <w:rPr>
          <w:sz w:val="26"/>
          <w:szCs w:val="26"/>
        </w:rPr>
        <w:t xml:space="preserve"> составило 15,3 тыс. голов (в том числе коров – 7,4 тыс</w:t>
      </w:r>
      <w:r w:rsidRPr="007709B3">
        <w:rPr>
          <w:sz w:val="26"/>
          <w:szCs w:val="26"/>
        </w:rPr>
        <w:t xml:space="preserve">. голов), </w:t>
      </w:r>
      <w:r w:rsidR="005E5868" w:rsidRPr="007709B3">
        <w:rPr>
          <w:sz w:val="26"/>
          <w:szCs w:val="26"/>
        </w:rPr>
        <w:t xml:space="preserve">свиней – 43,2 тыс. голов, </w:t>
      </w:r>
      <w:r w:rsidRPr="007709B3">
        <w:rPr>
          <w:sz w:val="26"/>
          <w:szCs w:val="26"/>
        </w:rPr>
        <w:t xml:space="preserve">овец и коз – 6,1 тыс. голов. </w:t>
      </w:r>
    </w:p>
    <w:p w:rsidR="00A90F64" w:rsidRPr="001263E9" w:rsidRDefault="00A90F64" w:rsidP="00A90F64">
      <w:pPr>
        <w:ind w:firstLine="720"/>
        <w:jc w:val="both"/>
        <w:rPr>
          <w:sz w:val="26"/>
          <w:szCs w:val="26"/>
        </w:rPr>
      </w:pPr>
      <w:r w:rsidRPr="007709B3">
        <w:rPr>
          <w:sz w:val="26"/>
          <w:szCs w:val="26"/>
        </w:rPr>
        <w:t>Валовый сбор овощей за январь-июнь 2019 года составил 1,0 тыс. тонн</w:t>
      </w:r>
      <w:r w:rsidRPr="001263E9">
        <w:rPr>
          <w:sz w:val="26"/>
          <w:szCs w:val="26"/>
        </w:rPr>
        <w:t xml:space="preserve"> или 100,2</w:t>
      </w:r>
      <w:r w:rsidR="00577C33" w:rsidRPr="001263E9">
        <w:rPr>
          <w:sz w:val="26"/>
          <w:szCs w:val="26"/>
        </w:rPr>
        <w:t xml:space="preserve"> </w:t>
      </w:r>
      <w:r w:rsidRPr="001263E9">
        <w:rPr>
          <w:sz w:val="26"/>
          <w:szCs w:val="26"/>
        </w:rPr>
        <w:t>% к предыдущему периоду</w:t>
      </w:r>
      <w:r w:rsidRPr="001263E9">
        <w:rPr>
          <w:rStyle w:val="a8"/>
          <w:sz w:val="26"/>
          <w:szCs w:val="26"/>
        </w:rPr>
        <w:footnoteReference w:id="10"/>
      </w:r>
      <w:r w:rsidRPr="001263E9">
        <w:rPr>
          <w:sz w:val="26"/>
          <w:szCs w:val="26"/>
        </w:rPr>
        <w:t>.</w:t>
      </w:r>
    </w:p>
    <w:p w:rsidR="00A90F64" w:rsidRPr="00A20E22" w:rsidRDefault="00A932F0" w:rsidP="00A90F64">
      <w:pPr>
        <w:ind w:firstLine="720"/>
        <w:jc w:val="both"/>
        <w:rPr>
          <w:sz w:val="26"/>
          <w:szCs w:val="26"/>
        </w:rPr>
      </w:pPr>
      <w:proofErr w:type="gramStart"/>
      <w:r w:rsidRPr="001263E9">
        <w:rPr>
          <w:sz w:val="26"/>
          <w:szCs w:val="26"/>
        </w:rPr>
        <w:t xml:space="preserve">В январе-июне </w:t>
      </w:r>
      <w:r w:rsidR="00A90F64" w:rsidRPr="001263E9">
        <w:rPr>
          <w:sz w:val="26"/>
          <w:szCs w:val="26"/>
        </w:rPr>
        <w:t xml:space="preserve">2019 года в сравнении с </w:t>
      </w:r>
      <w:r w:rsidR="001263E9" w:rsidRPr="001263E9">
        <w:rPr>
          <w:sz w:val="26"/>
          <w:szCs w:val="26"/>
        </w:rPr>
        <w:t>январем-июнем</w:t>
      </w:r>
      <w:r w:rsidR="00A90F64" w:rsidRPr="001263E9">
        <w:rPr>
          <w:sz w:val="26"/>
          <w:szCs w:val="26"/>
        </w:rPr>
        <w:t xml:space="preserve"> 2018 года отмечается рост производства</w:t>
      </w:r>
      <w:r w:rsidR="00CA5B3E" w:rsidRPr="001263E9">
        <w:rPr>
          <w:sz w:val="26"/>
          <w:szCs w:val="26"/>
        </w:rPr>
        <w:t>:</w:t>
      </w:r>
      <w:r w:rsidR="00A90F64" w:rsidRPr="001263E9">
        <w:rPr>
          <w:sz w:val="26"/>
          <w:szCs w:val="26"/>
        </w:rPr>
        <w:t xml:space="preserve"> сливок –</w:t>
      </w:r>
      <w:r w:rsidR="00CA5B3E" w:rsidRPr="001263E9">
        <w:rPr>
          <w:sz w:val="26"/>
          <w:szCs w:val="26"/>
        </w:rPr>
        <w:t xml:space="preserve"> </w:t>
      </w:r>
      <w:r w:rsidR="00A90F64" w:rsidRPr="001263E9">
        <w:rPr>
          <w:sz w:val="26"/>
          <w:szCs w:val="26"/>
        </w:rPr>
        <w:t>29,6 тонн</w:t>
      </w:r>
      <w:r w:rsidR="00CA5B3E" w:rsidRPr="001263E9">
        <w:rPr>
          <w:sz w:val="26"/>
          <w:szCs w:val="26"/>
        </w:rPr>
        <w:t xml:space="preserve"> (более чем в два раза)</w:t>
      </w:r>
      <w:r w:rsidR="00A90F64" w:rsidRPr="001263E9">
        <w:rPr>
          <w:sz w:val="26"/>
          <w:szCs w:val="26"/>
        </w:rPr>
        <w:t>, мяса и субпродуктов пищевых дома</w:t>
      </w:r>
      <w:r w:rsidR="007452BA" w:rsidRPr="001263E9">
        <w:rPr>
          <w:sz w:val="26"/>
          <w:szCs w:val="26"/>
        </w:rPr>
        <w:t xml:space="preserve">шней птицы – 3,7 тыс. тонн </w:t>
      </w:r>
      <w:r w:rsidR="00CA5B3E" w:rsidRPr="001263E9">
        <w:rPr>
          <w:sz w:val="26"/>
          <w:szCs w:val="26"/>
        </w:rPr>
        <w:t>(</w:t>
      </w:r>
      <w:r w:rsidR="007452BA" w:rsidRPr="001263E9">
        <w:rPr>
          <w:sz w:val="26"/>
          <w:szCs w:val="26"/>
        </w:rPr>
        <w:t xml:space="preserve">на </w:t>
      </w:r>
      <w:r w:rsidR="00A90F64" w:rsidRPr="001263E9">
        <w:rPr>
          <w:sz w:val="26"/>
          <w:szCs w:val="26"/>
        </w:rPr>
        <w:t>45,9 %</w:t>
      </w:r>
      <w:r w:rsidR="00CA5B3E" w:rsidRPr="001263E9">
        <w:rPr>
          <w:sz w:val="26"/>
          <w:szCs w:val="26"/>
        </w:rPr>
        <w:t>)</w:t>
      </w:r>
      <w:r w:rsidR="00A90F64" w:rsidRPr="001263E9">
        <w:rPr>
          <w:sz w:val="26"/>
          <w:szCs w:val="26"/>
        </w:rPr>
        <w:t>, сыров</w:t>
      </w:r>
      <w:r w:rsidR="001263E9" w:rsidRPr="001263E9">
        <w:rPr>
          <w:sz w:val="26"/>
          <w:szCs w:val="26"/>
        </w:rPr>
        <w:t xml:space="preserve"> </w:t>
      </w:r>
      <w:r w:rsidR="00577C33" w:rsidRPr="001263E9">
        <w:rPr>
          <w:sz w:val="26"/>
          <w:szCs w:val="26"/>
        </w:rPr>
        <w:t xml:space="preserve">– </w:t>
      </w:r>
      <w:r w:rsidR="00A90F64" w:rsidRPr="001263E9">
        <w:rPr>
          <w:sz w:val="26"/>
          <w:szCs w:val="26"/>
        </w:rPr>
        <w:t>6,</w:t>
      </w:r>
      <w:r w:rsidR="007452BA" w:rsidRPr="001263E9">
        <w:rPr>
          <w:sz w:val="26"/>
          <w:szCs w:val="26"/>
        </w:rPr>
        <w:t>1</w:t>
      </w:r>
      <w:r w:rsidR="00A90F64" w:rsidRPr="001263E9">
        <w:rPr>
          <w:sz w:val="26"/>
          <w:szCs w:val="26"/>
        </w:rPr>
        <w:t xml:space="preserve"> тонн </w:t>
      </w:r>
      <w:r w:rsidR="00CA5B3E" w:rsidRPr="001263E9">
        <w:rPr>
          <w:sz w:val="26"/>
          <w:szCs w:val="26"/>
        </w:rPr>
        <w:t>(</w:t>
      </w:r>
      <w:r w:rsidR="007452BA" w:rsidRPr="001263E9">
        <w:rPr>
          <w:sz w:val="26"/>
          <w:szCs w:val="26"/>
        </w:rPr>
        <w:t xml:space="preserve">на </w:t>
      </w:r>
      <w:r w:rsidR="00A90F64" w:rsidRPr="001263E9">
        <w:rPr>
          <w:sz w:val="26"/>
          <w:szCs w:val="26"/>
        </w:rPr>
        <w:t>43,4</w:t>
      </w:r>
      <w:r w:rsidR="00CA5B3E" w:rsidRPr="001263E9">
        <w:rPr>
          <w:sz w:val="26"/>
          <w:szCs w:val="26"/>
        </w:rPr>
        <w:t xml:space="preserve"> %), молока – 7,9 тыс. тонн (на </w:t>
      </w:r>
      <w:r w:rsidR="00A90F64" w:rsidRPr="001263E9">
        <w:rPr>
          <w:sz w:val="26"/>
          <w:szCs w:val="26"/>
        </w:rPr>
        <w:t>36,9 %</w:t>
      </w:r>
      <w:r w:rsidR="00CA5B3E" w:rsidRPr="001263E9">
        <w:rPr>
          <w:sz w:val="26"/>
          <w:szCs w:val="26"/>
        </w:rPr>
        <w:t>)</w:t>
      </w:r>
      <w:r w:rsidR="00A90F64" w:rsidRPr="001263E9">
        <w:rPr>
          <w:sz w:val="26"/>
          <w:szCs w:val="26"/>
        </w:rPr>
        <w:t>, мяса крупного рогатого скота</w:t>
      </w:r>
      <w:r w:rsidR="00A90F64" w:rsidRPr="00A20E22">
        <w:rPr>
          <w:sz w:val="26"/>
          <w:szCs w:val="26"/>
        </w:rPr>
        <w:t xml:space="preserve"> – </w:t>
      </w:r>
      <w:r w:rsidR="00A90F64" w:rsidRPr="00A20E22">
        <w:rPr>
          <w:spacing w:val="5"/>
          <w:sz w:val="26"/>
          <w:szCs w:val="26"/>
        </w:rPr>
        <w:t>1,8</w:t>
      </w:r>
      <w:r w:rsidR="00A90F64" w:rsidRPr="00A20E22">
        <w:rPr>
          <w:sz w:val="26"/>
          <w:szCs w:val="26"/>
        </w:rPr>
        <w:t xml:space="preserve"> тыс. тонн </w:t>
      </w:r>
      <w:r w:rsidR="00CA5B3E" w:rsidRPr="00A20E22">
        <w:rPr>
          <w:sz w:val="26"/>
          <w:szCs w:val="26"/>
        </w:rPr>
        <w:t xml:space="preserve">(на </w:t>
      </w:r>
      <w:r w:rsidR="00A90F64" w:rsidRPr="00A20E22">
        <w:rPr>
          <w:sz w:val="26"/>
          <w:szCs w:val="26"/>
        </w:rPr>
        <w:t>22,5 %</w:t>
      </w:r>
      <w:r w:rsidR="00CA5B3E" w:rsidRPr="00A20E22">
        <w:rPr>
          <w:sz w:val="26"/>
          <w:szCs w:val="26"/>
        </w:rPr>
        <w:t>)</w:t>
      </w:r>
      <w:r w:rsidR="00CA5B3E" w:rsidRPr="00A20E22">
        <w:rPr>
          <w:rStyle w:val="a8"/>
          <w:sz w:val="26"/>
          <w:szCs w:val="26"/>
        </w:rPr>
        <w:footnoteReference w:id="11"/>
      </w:r>
      <w:r w:rsidR="00A90F64" w:rsidRPr="00A20E22">
        <w:rPr>
          <w:sz w:val="26"/>
          <w:szCs w:val="26"/>
        </w:rPr>
        <w:t xml:space="preserve">. Производство яиц составило </w:t>
      </w:r>
      <w:r w:rsidR="00CA5B3E" w:rsidRPr="00A20E22">
        <w:rPr>
          <w:sz w:val="26"/>
          <w:szCs w:val="26"/>
        </w:rPr>
        <w:t>26,5 млн. штук</w:t>
      </w:r>
      <w:r w:rsidR="00A90F64" w:rsidRPr="00A20E22">
        <w:rPr>
          <w:sz w:val="26"/>
          <w:szCs w:val="26"/>
        </w:rPr>
        <w:t xml:space="preserve"> или 105,7</w:t>
      </w:r>
      <w:proofErr w:type="gramEnd"/>
      <w:r w:rsidR="00A90F64" w:rsidRPr="00A20E22">
        <w:rPr>
          <w:sz w:val="26"/>
          <w:szCs w:val="26"/>
        </w:rPr>
        <w:t> % относительно соответствующего периода 2018 года.</w:t>
      </w:r>
    </w:p>
    <w:p w:rsidR="00A90F64" w:rsidRPr="00A20E22" w:rsidRDefault="00A90F64" w:rsidP="00A90F64">
      <w:pPr>
        <w:widowControl w:val="0"/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 xml:space="preserve">Крупными производителями мяса являются </w:t>
      </w:r>
      <w:proofErr w:type="gramStart"/>
      <w:r w:rsidRPr="00A20E22">
        <w:rPr>
          <w:sz w:val="26"/>
          <w:szCs w:val="26"/>
        </w:rPr>
        <w:t>крестьянские</w:t>
      </w:r>
      <w:proofErr w:type="gramEnd"/>
      <w:r w:rsidRPr="00A20E22">
        <w:rPr>
          <w:sz w:val="26"/>
          <w:szCs w:val="26"/>
        </w:rPr>
        <w:t xml:space="preserve"> (фермерские) хозяйства: </w:t>
      </w:r>
      <w:proofErr w:type="spellStart"/>
      <w:r w:rsidRPr="00A20E22">
        <w:rPr>
          <w:sz w:val="26"/>
          <w:szCs w:val="26"/>
        </w:rPr>
        <w:t>Багаевой</w:t>
      </w:r>
      <w:proofErr w:type="spellEnd"/>
      <w:r w:rsidRPr="00A20E22">
        <w:rPr>
          <w:sz w:val="26"/>
          <w:szCs w:val="26"/>
        </w:rPr>
        <w:t xml:space="preserve"> </w:t>
      </w:r>
      <w:proofErr w:type="spellStart"/>
      <w:r w:rsidRPr="00A20E22">
        <w:rPr>
          <w:sz w:val="26"/>
          <w:szCs w:val="26"/>
        </w:rPr>
        <w:t>Е.В</w:t>
      </w:r>
      <w:proofErr w:type="spellEnd"/>
      <w:r w:rsidRPr="00A20E22">
        <w:rPr>
          <w:sz w:val="26"/>
          <w:szCs w:val="26"/>
        </w:rPr>
        <w:t>. (г. Югорск), Беккера А.В. (г. Югорск), Логиновой Т.В. (Нефтеюганский район).</w:t>
      </w:r>
    </w:p>
    <w:p w:rsidR="00A90F64" w:rsidRPr="00A20E22" w:rsidRDefault="00A90F64" w:rsidP="00A90F64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A20E22">
        <w:rPr>
          <w:sz w:val="26"/>
          <w:szCs w:val="26"/>
        </w:rPr>
        <w:t>Разведением племенного животноводства занимаются 2 предприятия – АО «</w:t>
      </w:r>
      <w:proofErr w:type="spellStart"/>
      <w:r w:rsidRPr="00A20E22">
        <w:rPr>
          <w:sz w:val="26"/>
          <w:szCs w:val="26"/>
        </w:rPr>
        <w:t>Агроника</w:t>
      </w:r>
      <w:proofErr w:type="spellEnd"/>
      <w:r w:rsidRPr="00A20E22">
        <w:rPr>
          <w:sz w:val="26"/>
          <w:szCs w:val="26"/>
        </w:rPr>
        <w:t>» и ООО «Богдашка», имеющие статус племенного репродуктора.</w:t>
      </w:r>
    </w:p>
    <w:p w:rsidR="00827FF7" w:rsidRDefault="00827FF7" w:rsidP="00827FF7">
      <w:pPr>
        <w:tabs>
          <w:tab w:val="left" w:pos="0"/>
        </w:tabs>
        <w:ind w:firstLine="709"/>
        <w:jc w:val="both"/>
        <w:rPr>
          <w:sz w:val="26"/>
          <w:szCs w:val="26"/>
        </w:rPr>
      </w:pPr>
    </w:p>
    <w:p w:rsidR="00940A54" w:rsidRPr="00A20E22" w:rsidRDefault="00940A54" w:rsidP="00827FF7">
      <w:pPr>
        <w:tabs>
          <w:tab w:val="left" w:pos="0"/>
        </w:tabs>
        <w:ind w:firstLine="709"/>
        <w:jc w:val="both"/>
        <w:rPr>
          <w:sz w:val="26"/>
          <w:szCs w:val="26"/>
        </w:rPr>
      </w:pPr>
    </w:p>
    <w:p w:rsidR="00827FF7" w:rsidRPr="00A20E22" w:rsidRDefault="00827FF7" w:rsidP="00827FF7">
      <w:pPr>
        <w:pStyle w:val="2"/>
        <w:numPr>
          <w:ilvl w:val="0"/>
          <w:numId w:val="0"/>
        </w:numPr>
        <w:rPr>
          <w:rFonts w:eastAsiaTheme="majorEastAsia"/>
          <w:color w:val="auto"/>
        </w:rPr>
      </w:pPr>
      <w:bookmarkStart w:id="5" w:name="_Toc10912540"/>
      <w:r w:rsidRPr="00A20E22">
        <w:rPr>
          <w:rFonts w:eastAsiaTheme="majorEastAsia"/>
          <w:color w:val="auto"/>
        </w:rPr>
        <w:lastRenderedPageBreak/>
        <w:t>Строительство</w:t>
      </w:r>
      <w:bookmarkEnd w:id="5"/>
    </w:p>
    <w:p w:rsidR="00827FF7" w:rsidRPr="00A20E22" w:rsidRDefault="00827FF7" w:rsidP="00827FF7">
      <w:pPr>
        <w:widowControl w:val="0"/>
        <w:ind w:firstLine="709"/>
        <w:jc w:val="both"/>
        <w:rPr>
          <w:sz w:val="26"/>
          <w:szCs w:val="26"/>
        </w:rPr>
      </w:pPr>
    </w:p>
    <w:p w:rsidR="00D03D45" w:rsidRPr="00A30F40" w:rsidRDefault="00955A21" w:rsidP="00955A2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A20E22">
        <w:rPr>
          <w:sz w:val="26"/>
          <w:szCs w:val="26"/>
        </w:rPr>
        <w:t>Объем работ, выполненный собственными силами по виду экономической деятельности «Строительство», в январе-июне 2019 года составил 134,9 млрд. рублей или 73,0 % к соответствующему периоду 2018 года</w:t>
      </w:r>
      <w:r w:rsidRPr="00A20E22">
        <w:rPr>
          <w:rStyle w:val="a8"/>
          <w:sz w:val="26"/>
          <w:szCs w:val="26"/>
        </w:rPr>
        <w:footnoteReference w:id="12"/>
      </w:r>
      <w:r w:rsidRPr="00A20E22">
        <w:rPr>
          <w:sz w:val="26"/>
          <w:szCs w:val="26"/>
        </w:rPr>
        <w:t xml:space="preserve">. </w:t>
      </w:r>
      <w:r w:rsidR="00D03D45" w:rsidRPr="00A20E22">
        <w:rPr>
          <w:sz w:val="26"/>
          <w:szCs w:val="26"/>
        </w:rPr>
        <w:t>Среди субъектов Р</w:t>
      </w:r>
      <w:r w:rsidR="00217632">
        <w:rPr>
          <w:sz w:val="26"/>
          <w:szCs w:val="26"/>
        </w:rPr>
        <w:t xml:space="preserve">оссийской </w:t>
      </w:r>
      <w:r w:rsidR="00D03D45" w:rsidRPr="00A20E22">
        <w:rPr>
          <w:sz w:val="26"/>
          <w:szCs w:val="26"/>
        </w:rPr>
        <w:t>Ф</w:t>
      </w:r>
      <w:r w:rsidR="00217632">
        <w:rPr>
          <w:sz w:val="26"/>
          <w:szCs w:val="26"/>
        </w:rPr>
        <w:t>едерации (далее – РФ)</w:t>
      </w:r>
      <w:r w:rsidR="00D03D45" w:rsidRPr="00A20E22">
        <w:rPr>
          <w:sz w:val="26"/>
          <w:szCs w:val="26"/>
        </w:rPr>
        <w:t xml:space="preserve"> Югра занимает 4 место по объёму работ, выполненных по виду деятельности «строительство» на душу </w:t>
      </w:r>
      <w:r w:rsidR="00D03D45" w:rsidRPr="00A30F40">
        <w:rPr>
          <w:sz w:val="26"/>
          <w:szCs w:val="26"/>
        </w:rPr>
        <w:t>населения с номиналом в 81,3 тыс. рублей.</w:t>
      </w:r>
      <w:proofErr w:type="gramEnd"/>
    </w:p>
    <w:p w:rsidR="00955A21" w:rsidRPr="00A20E22" w:rsidRDefault="00955A21" w:rsidP="00955A2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30F40">
        <w:rPr>
          <w:sz w:val="26"/>
          <w:szCs w:val="26"/>
        </w:rPr>
        <w:t>В автономном округе введено в эксплуатацию</w:t>
      </w:r>
      <w:r w:rsidRPr="00A30F40">
        <w:rPr>
          <w:bCs/>
          <w:sz w:val="26"/>
          <w:szCs w:val="26"/>
        </w:rPr>
        <w:t xml:space="preserve"> </w:t>
      </w:r>
      <w:r w:rsidRPr="00A30F40">
        <w:rPr>
          <w:sz w:val="26"/>
          <w:szCs w:val="26"/>
        </w:rPr>
        <w:t>157,1</w:t>
      </w:r>
      <w:r w:rsidRPr="00A30F40">
        <w:rPr>
          <w:bCs/>
          <w:sz w:val="26"/>
          <w:szCs w:val="26"/>
        </w:rPr>
        <w:t xml:space="preserve"> </w:t>
      </w:r>
      <w:r w:rsidRPr="00A30F40">
        <w:rPr>
          <w:sz w:val="26"/>
          <w:szCs w:val="26"/>
        </w:rPr>
        <w:t xml:space="preserve">тыс. кв. м общей площади жилых домов, что составило 92,3 % к </w:t>
      </w:r>
      <w:r w:rsidR="00A30F40" w:rsidRPr="00A30F40">
        <w:rPr>
          <w:sz w:val="26"/>
          <w:szCs w:val="26"/>
        </w:rPr>
        <w:t>январю</w:t>
      </w:r>
      <w:r w:rsidR="00577C33" w:rsidRPr="00A30F40">
        <w:rPr>
          <w:sz w:val="26"/>
          <w:szCs w:val="26"/>
        </w:rPr>
        <w:t>-июн</w:t>
      </w:r>
      <w:r w:rsidR="00A30F40" w:rsidRPr="00A30F40">
        <w:rPr>
          <w:sz w:val="26"/>
          <w:szCs w:val="26"/>
        </w:rPr>
        <w:t>ю</w:t>
      </w:r>
      <w:r w:rsidR="00577C33" w:rsidRPr="00A30F40">
        <w:rPr>
          <w:sz w:val="26"/>
          <w:szCs w:val="26"/>
        </w:rPr>
        <w:t xml:space="preserve"> </w:t>
      </w:r>
      <w:r w:rsidRPr="00A30F40">
        <w:rPr>
          <w:sz w:val="26"/>
          <w:szCs w:val="26"/>
        </w:rPr>
        <w:t xml:space="preserve">2018 года, доля индивидуального жилищного строительства – </w:t>
      </w:r>
      <w:r w:rsidR="002A2931" w:rsidRPr="00A30F40">
        <w:rPr>
          <w:sz w:val="26"/>
          <w:szCs w:val="26"/>
        </w:rPr>
        <w:t>33,9 </w:t>
      </w:r>
      <w:r w:rsidRPr="00A30F40">
        <w:rPr>
          <w:sz w:val="26"/>
          <w:szCs w:val="26"/>
        </w:rPr>
        <w:t>%</w:t>
      </w:r>
      <w:r w:rsidRPr="00A30F40">
        <w:rPr>
          <w:sz w:val="26"/>
          <w:szCs w:val="26"/>
          <w:vertAlign w:val="superscript"/>
        </w:rPr>
        <w:footnoteReference w:id="13"/>
      </w:r>
      <w:r w:rsidRPr="00A30F40">
        <w:rPr>
          <w:sz w:val="26"/>
          <w:szCs w:val="26"/>
        </w:rPr>
        <w:t>.</w:t>
      </w:r>
      <w:r w:rsidRPr="00A20E22">
        <w:rPr>
          <w:sz w:val="26"/>
          <w:szCs w:val="26"/>
        </w:rPr>
        <w:t xml:space="preserve"> </w:t>
      </w:r>
    </w:p>
    <w:p w:rsidR="00955A21" w:rsidRPr="00A20E22" w:rsidRDefault="00955A21" w:rsidP="00955A21">
      <w:pPr>
        <w:ind w:firstLine="709"/>
        <w:jc w:val="both"/>
        <w:rPr>
          <w:sz w:val="26"/>
          <w:szCs w:val="26"/>
        </w:rPr>
      </w:pPr>
      <w:proofErr w:type="gramStart"/>
      <w:r w:rsidRPr="00A20E22">
        <w:rPr>
          <w:sz w:val="26"/>
          <w:szCs w:val="26"/>
        </w:rPr>
        <w:t>По данным Центрального Банка Российской Федерации по итогам января-</w:t>
      </w:r>
      <w:r w:rsidR="007E1B3D" w:rsidRPr="00A20E22">
        <w:rPr>
          <w:sz w:val="26"/>
          <w:szCs w:val="26"/>
        </w:rPr>
        <w:t>июня</w:t>
      </w:r>
      <w:r w:rsidRPr="00A20E22">
        <w:rPr>
          <w:sz w:val="26"/>
          <w:szCs w:val="26"/>
        </w:rPr>
        <w:t xml:space="preserve"> 2019 года количество заключенных ипотечных кредитов в Югре составило </w:t>
      </w:r>
      <w:r w:rsidR="007E1B3D" w:rsidRPr="00A20E22">
        <w:rPr>
          <w:sz w:val="26"/>
          <w:szCs w:val="26"/>
        </w:rPr>
        <w:t>10722</w:t>
      </w:r>
      <w:r w:rsidRPr="00A20E22">
        <w:rPr>
          <w:sz w:val="26"/>
          <w:szCs w:val="26"/>
        </w:rPr>
        <w:t xml:space="preserve"> ед., по сравнению с соответствующим периодом 2018 года уменьшилось на </w:t>
      </w:r>
      <w:r w:rsidR="007E1B3D" w:rsidRPr="00A20E22">
        <w:rPr>
          <w:sz w:val="26"/>
          <w:szCs w:val="26"/>
        </w:rPr>
        <w:t>3307</w:t>
      </w:r>
      <w:r w:rsidRPr="00A20E22">
        <w:rPr>
          <w:sz w:val="26"/>
          <w:szCs w:val="26"/>
        </w:rPr>
        <w:t xml:space="preserve"> единиц или на </w:t>
      </w:r>
      <w:r w:rsidR="007E1B3D" w:rsidRPr="00A20E22">
        <w:rPr>
          <w:sz w:val="26"/>
          <w:szCs w:val="26"/>
        </w:rPr>
        <w:t>23,6</w:t>
      </w:r>
      <w:r w:rsidRPr="00A20E22">
        <w:rPr>
          <w:sz w:val="26"/>
          <w:szCs w:val="26"/>
        </w:rPr>
        <w:t xml:space="preserve"> %. Объем выданных кредитов составил </w:t>
      </w:r>
      <w:r w:rsidR="007E1B3D" w:rsidRPr="00A20E22">
        <w:rPr>
          <w:sz w:val="26"/>
          <w:szCs w:val="26"/>
        </w:rPr>
        <w:t>27293,0</w:t>
      </w:r>
      <w:r w:rsidRPr="00A20E22">
        <w:rPr>
          <w:sz w:val="26"/>
          <w:szCs w:val="26"/>
        </w:rPr>
        <w:t xml:space="preserve"> млн. рублей (в январе–</w:t>
      </w:r>
      <w:r w:rsidR="007E1B3D" w:rsidRPr="00A20E22">
        <w:rPr>
          <w:sz w:val="26"/>
          <w:szCs w:val="26"/>
        </w:rPr>
        <w:t>июне</w:t>
      </w:r>
      <w:r w:rsidRPr="00A20E22">
        <w:rPr>
          <w:sz w:val="26"/>
          <w:szCs w:val="26"/>
        </w:rPr>
        <w:t xml:space="preserve"> 2018 года </w:t>
      </w:r>
      <w:r w:rsidR="007E1B3D" w:rsidRPr="00A20E22">
        <w:rPr>
          <w:sz w:val="26"/>
          <w:szCs w:val="26"/>
        </w:rPr>
        <w:t>32678</w:t>
      </w:r>
      <w:r w:rsidRPr="00A20E22">
        <w:rPr>
          <w:sz w:val="26"/>
          <w:szCs w:val="26"/>
        </w:rPr>
        <w:t xml:space="preserve"> млн. рублей), по этому показателю автономный округ занял 9 место среди регионов России</w:t>
      </w:r>
      <w:r w:rsidRPr="00A20E22">
        <w:rPr>
          <w:sz w:val="26"/>
          <w:szCs w:val="26"/>
          <w:vertAlign w:val="superscript"/>
        </w:rPr>
        <w:footnoteReference w:id="14"/>
      </w:r>
      <w:r w:rsidRPr="00A20E22">
        <w:rPr>
          <w:sz w:val="26"/>
          <w:szCs w:val="26"/>
        </w:rPr>
        <w:t>.</w:t>
      </w:r>
      <w:proofErr w:type="gramEnd"/>
    </w:p>
    <w:p w:rsidR="00411A56" w:rsidRPr="00A20E22" w:rsidRDefault="00411A56" w:rsidP="00411A56">
      <w:pPr>
        <w:ind w:firstLine="709"/>
        <w:jc w:val="both"/>
        <w:rPr>
          <w:sz w:val="28"/>
          <w:szCs w:val="28"/>
        </w:rPr>
      </w:pPr>
      <w:r w:rsidRPr="00A20E22">
        <w:rPr>
          <w:sz w:val="26"/>
          <w:szCs w:val="26"/>
        </w:rPr>
        <w:t xml:space="preserve">Среди субъектов </w:t>
      </w:r>
      <w:r w:rsidR="00351CD2">
        <w:rPr>
          <w:sz w:val="26"/>
          <w:szCs w:val="26"/>
        </w:rPr>
        <w:t>РФ</w:t>
      </w:r>
      <w:r w:rsidRPr="00A20E22">
        <w:rPr>
          <w:sz w:val="26"/>
          <w:szCs w:val="26"/>
        </w:rPr>
        <w:t xml:space="preserve"> по показателю объема предоставленных ипотечных кредитов на душу населения автономный округ занимает 3 место, а по количеству кредитов на тысячу человек населения</w:t>
      </w:r>
      <w:r w:rsidR="00983B56">
        <w:rPr>
          <w:sz w:val="26"/>
          <w:szCs w:val="26"/>
        </w:rPr>
        <w:t xml:space="preserve"> – </w:t>
      </w:r>
      <w:r w:rsidRPr="00A20E22">
        <w:rPr>
          <w:sz w:val="26"/>
          <w:szCs w:val="26"/>
        </w:rPr>
        <w:t>2 место.</w:t>
      </w:r>
    </w:p>
    <w:p w:rsidR="00955A21" w:rsidRPr="00A20E22" w:rsidRDefault="00955A21" w:rsidP="00955A21">
      <w:pPr>
        <w:ind w:firstLine="720"/>
        <w:jc w:val="both"/>
        <w:rPr>
          <w:sz w:val="26"/>
          <w:szCs w:val="26"/>
        </w:rPr>
      </w:pPr>
      <w:r w:rsidRPr="00A20E22">
        <w:rPr>
          <w:sz w:val="26"/>
          <w:szCs w:val="26"/>
        </w:rPr>
        <w:t xml:space="preserve">В целях улучшения жилищных условий продолжается работа по формированию фонда наемных домов социального и коммерческого использования. </w:t>
      </w:r>
      <w:proofErr w:type="gramStart"/>
      <w:r w:rsidRPr="00A20E22">
        <w:rPr>
          <w:sz w:val="26"/>
          <w:szCs w:val="26"/>
        </w:rPr>
        <w:t xml:space="preserve">Созданы и функционируют 5 наемных домов коммерческого использования в 3 крупных городах Югры – Нефтеюганск, Сургут и Ханты-Мансийск, общей площадью 32,3 тыс. кв. м (730 меблированных квартир), а также 3 наемных дома социального использования в городах Сургуте, </w:t>
      </w:r>
      <w:proofErr w:type="spellStart"/>
      <w:r w:rsidRPr="00A20E22">
        <w:rPr>
          <w:sz w:val="26"/>
          <w:szCs w:val="26"/>
        </w:rPr>
        <w:t>Мегионе</w:t>
      </w:r>
      <w:proofErr w:type="spellEnd"/>
      <w:r w:rsidRPr="00A20E22">
        <w:rPr>
          <w:sz w:val="26"/>
          <w:szCs w:val="26"/>
        </w:rPr>
        <w:t xml:space="preserve">, </w:t>
      </w:r>
      <w:proofErr w:type="spellStart"/>
      <w:r w:rsidRPr="00A20E22">
        <w:rPr>
          <w:sz w:val="26"/>
          <w:szCs w:val="26"/>
        </w:rPr>
        <w:t>Пыть-Яхе</w:t>
      </w:r>
      <w:proofErr w:type="spellEnd"/>
      <w:r w:rsidRPr="00A20E22">
        <w:rPr>
          <w:sz w:val="26"/>
          <w:szCs w:val="26"/>
        </w:rPr>
        <w:t xml:space="preserve"> общей площадью 38,2 тыс. кв. м (769 меблированных квартир).</w:t>
      </w:r>
      <w:proofErr w:type="gramEnd"/>
      <w:r w:rsidRPr="00A20E22">
        <w:rPr>
          <w:sz w:val="26"/>
          <w:szCs w:val="26"/>
        </w:rPr>
        <w:t xml:space="preserve"> Все дома располагаются в районах с развитой инфраструктурой, с подключением в городскую систему «Безопасный город».</w:t>
      </w:r>
    </w:p>
    <w:p w:rsidR="00955A21" w:rsidRPr="00A20E22" w:rsidRDefault="00955A21" w:rsidP="00955A21">
      <w:pPr>
        <w:ind w:firstLine="720"/>
        <w:jc w:val="both"/>
        <w:rPr>
          <w:sz w:val="26"/>
          <w:szCs w:val="26"/>
        </w:rPr>
      </w:pPr>
      <w:proofErr w:type="gramStart"/>
      <w:r w:rsidRPr="00A20E22">
        <w:rPr>
          <w:sz w:val="26"/>
          <w:szCs w:val="26"/>
        </w:rPr>
        <w:t xml:space="preserve">В </w:t>
      </w:r>
      <w:r w:rsidRPr="001263E9">
        <w:rPr>
          <w:sz w:val="26"/>
          <w:szCs w:val="26"/>
        </w:rPr>
        <w:t xml:space="preserve">январе-июне 2019 года за счет всех источников финансирования предоставлены меры государственной поддержки </w:t>
      </w:r>
      <w:r w:rsidR="00163249" w:rsidRPr="001263E9">
        <w:rPr>
          <w:sz w:val="26"/>
          <w:szCs w:val="26"/>
        </w:rPr>
        <w:t>2357</w:t>
      </w:r>
      <w:r w:rsidRPr="001263E9">
        <w:rPr>
          <w:sz w:val="26"/>
          <w:szCs w:val="26"/>
        </w:rPr>
        <w:t xml:space="preserve"> семьям, в том числе: 91 субсиди</w:t>
      </w:r>
      <w:r w:rsidR="00E75271" w:rsidRPr="001263E9">
        <w:rPr>
          <w:sz w:val="26"/>
          <w:szCs w:val="26"/>
        </w:rPr>
        <w:t>я</w:t>
      </w:r>
      <w:r w:rsidRPr="001263E9">
        <w:rPr>
          <w:sz w:val="26"/>
          <w:szCs w:val="26"/>
        </w:rPr>
        <w:t xml:space="preserve"> семьям, имеющим 3</w:t>
      </w:r>
      <w:r w:rsidR="001263E9" w:rsidRPr="001263E9">
        <w:rPr>
          <w:sz w:val="26"/>
          <w:szCs w:val="26"/>
        </w:rPr>
        <w:t xml:space="preserve"> </w:t>
      </w:r>
      <w:r w:rsidRPr="001263E9">
        <w:rPr>
          <w:sz w:val="26"/>
          <w:szCs w:val="26"/>
        </w:rPr>
        <w:t>и более детей и невысокий уровень дохода, семьям, имеющим детей-инвалидов, и семьям, в которых дети остались без родителей; 775 субсидий молодым семьям</w:t>
      </w:r>
      <w:r w:rsidRPr="00A20E22">
        <w:rPr>
          <w:sz w:val="26"/>
          <w:szCs w:val="26"/>
        </w:rPr>
        <w:t>; 201 субсидия гражданам из числа коренных малочисленных народов;</w:t>
      </w:r>
      <w:proofErr w:type="gramEnd"/>
      <w:r w:rsidRPr="00A20E22">
        <w:rPr>
          <w:sz w:val="26"/>
          <w:szCs w:val="26"/>
        </w:rPr>
        <w:t xml:space="preserve"> 10 социальных выплат многодетным семьям взамен земельного участка; 431 субсидия на погашение полученных до 31 декабря 2013 года ипотечных кредитов с компенсацией части процентной ставки</w:t>
      </w:r>
      <w:r w:rsidR="00C02756" w:rsidRPr="00A20E22">
        <w:rPr>
          <w:sz w:val="26"/>
          <w:szCs w:val="26"/>
        </w:rPr>
        <w:t>; 167 выплат другим участникам мероприятий по улучшению жилищных условий отдельных категорий граждан</w:t>
      </w:r>
      <w:r w:rsidRPr="00A20E22">
        <w:rPr>
          <w:sz w:val="26"/>
          <w:szCs w:val="26"/>
        </w:rPr>
        <w:t xml:space="preserve">. </w:t>
      </w:r>
      <w:r w:rsidR="00163249" w:rsidRPr="00A20E22">
        <w:rPr>
          <w:sz w:val="26"/>
          <w:szCs w:val="26"/>
        </w:rPr>
        <w:t>Выдано</w:t>
      </w:r>
      <w:r w:rsidRPr="00A20E22">
        <w:rPr>
          <w:sz w:val="26"/>
          <w:szCs w:val="26"/>
        </w:rPr>
        <w:t xml:space="preserve"> </w:t>
      </w:r>
      <w:r w:rsidR="00163249" w:rsidRPr="00A20E22">
        <w:rPr>
          <w:sz w:val="26"/>
          <w:szCs w:val="26"/>
        </w:rPr>
        <w:t>92</w:t>
      </w:r>
      <w:r w:rsidRPr="00A20E22">
        <w:rPr>
          <w:sz w:val="26"/>
          <w:szCs w:val="26"/>
        </w:rPr>
        <w:t xml:space="preserve"> государственны</w:t>
      </w:r>
      <w:r w:rsidR="00163249" w:rsidRPr="00A20E22">
        <w:rPr>
          <w:sz w:val="26"/>
          <w:szCs w:val="26"/>
        </w:rPr>
        <w:t>х</w:t>
      </w:r>
      <w:r w:rsidRPr="00A20E22">
        <w:rPr>
          <w:sz w:val="26"/>
          <w:szCs w:val="26"/>
        </w:rPr>
        <w:t xml:space="preserve"> жилищны</w:t>
      </w:r>
      <w:r w:rsidR="00163249" w:rsidRPr="00A20E22">
        <w:rPr>
          <w:sz w:val="26"/>
          <w:szCs w:val="26"/>
        </w:rPr>
        <w:t>х</w:t>
      </w:r>
      <w:r w:rsidRPr="00A20E22">
        <w:rPr>
          <w:sz w:val="26"/>
          <w:szCs w:val="26"/>
        </w:rPr>
        <w:t xml:space="preserve"> сертификат</w:t>
      </w:r>
      <w:r w:rsidR="00163249" w:rsidRPr="00A20E22">
        <w:rPr>
          <w:sz w:val="26"/>
          <w:szCs w:val="26"/>
        </w:rPr>
        <w:t>а</w:t>
      </w:r>
      <w:r w:rsidRPr="00A20E22">
        <w:rPr>
          <w:sz w:val="26"/>
          <w:szCs w:val="26"/>
        </w:rPr>
        <w:t xml:space="preserve">, принято </w:t>
      </w:r>
      <w:r w:rsidR="00161357" w:rsidRPr="00A20E22">
        <w:rPr>
          <w:sz w:val="26"/>
          <w:szCs w:val="26"/>
        </w:rPr>
        <w:t>325 решений</w:t>
      </w:r>
      <w:r w:rsidRPr="00A20E22">
        <w:rPr>
          <w:sz w:val="26"/>
          <w:szCs w:val="26"/>
        </w:rPr>
        <w:t xml:space="preserve"> о компенсации части процентной ставки по ипотечному жилищному кредиту. Выплачена компенсация части процентной ставки по ипотечным </w:t>
      </w:r>
      <w:r w:rsidRPr="00A20E22">
        <w:rPr>
          <w:sz w:val="26"/>
          <w:szCs w:val="26"/>
        </w:rPr>
        <w:lastRenderedPageBreak/>
        <w:t xml:space="preserve">кредитам и займам </w:t>
      </w:r>
      <w:r w:rsidRPr="00E31978">
        <w:rPr>
          <w:sz w:val="26"/>
          <w:szCs w:val="26"/>
        </w:rPr>
        <w:t xml:space="preserve">36349 </w:t>
      </w:r>
      <w:r w:rsidRPr="00A20E22">
        <w:rPr>
          <w:sz w:val="26"/>
          <w:szCs w:val="26"/>
        </w:rPr>
        <w:t>семьям. В рамках муниципальных программ по ликвидации балочных массивов осуществлено 357 выплат (в соответствующем периоде 2018 года – 113).</w:t>
      </w:r>
    </w:p>
    <w:p w:rsidR="00955A21" w:rsidRPr="00A20E22" w:rsidRDefault="00955A21" w:rsidP="00955A21">
      <w:pPr>
        <w:widowControl w:val="0"/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>Основной объем работ по виду деятельности «строительство» приходится на производственные объекты. В январе-июне 2019 года введены в действие производственные мощности</w:t>
      </w:r>
      <w:r w:rsidRPr="00A20E22">
        <w:rPr>
          <w:sz w:val="26"/>
          <w:szCs w:val="26"/>
          <w:vertAlign w:val="superscript"/>
        </w:rPr>
        <w:footnoteReference w:id="15"/>
      </w:r>
      <w:r w:rsidRPr="00A20E22">
        <w:rPr>
          <w:sz w:val="26"/>
          <w:szCs w:val="26"/>
        </w:rPr>
        <w:t>:</w:t>
      </w:r>
    </w:p>
    <w:p w:rsidR="00955A21" w:rsidRPr="00A20E22" w:rsidRDefault="00955A21" w:rsidP="0030618B">
      <w:pPr>
        <w:ind w:firstLine="720"/>
        <w:jc w:val="both"/>
        <w:rPr>
          <w:sz w:val="26"/>
          <w:szCs w:val="26"/>
        </w:rPr>
      </w:pPr>
      <w:r w:rsidRPr="00A20E22">
        <w:rPr>
          <w:sz w:val="26"/>
          <w:szCs w:val="26"/>
        </w:rPr>
        <w:t xml:space="preserve">линии электропередачи напряжением 35 </w:t>
      </w:r>
      <w:proofErr w:type="spellStart"/>
      <w:r w:rsidRPr="00A20E22">
        <w:rPr>
          <w:sz w:val="26"/>
          <w:szCs w:val="26"/>
        </w:rPr>
        <w:t>кВ</w:t>
      </w:r>
      <w:proofErr w:type="spellEnd"/>
      <w:r w:rsidRPr="00A20E22">
        <w:rPr>
          <w:sz w:val="26"/>
          <w:szCs w:val="26"/>
        </w:rPr>
        <w:t xml:space="preserve"> и выше – 73,4 км;</w:t>
      </w:r>
    </w:p>
    <w:p w:rsidR="00955A21" w:rsidRPr="00A20E22" w:rsidRDefault="00955A21" w:rsidP="0030618B">
      <w:pPr>
        <w:ind w:firstLine="720"/>
        <w:jc w:val="both"/>
        <w:rPr>
          <w:sz w:val="26"/>
          <w:szCs w:val="26"/>
        </w:rPr>
      </w:pPr>
      <w:r w:rsidRPr="00A20E22">
        <w:rPr>
          <w:sz w:val="26"/>
          <w:szCs w:val="26"/>
        </w:rPr>
        <w:t xml:space="preserve">трансформаторные понизительные подстанции напряжением 35 </w:t>
      </w:r>
      <w:proofErr w:type="spellStart"/>
      <w:r w:rsidRPr="00A20E22">
        <w:rPr>
          <w:sz w:val="26"/>
          <w:szCs w:val="26"/>
        </w:rPr>
        <w:t>кВ</w:t>
      </w:r>
      <w:proofErr w:type="spellEnd"/>
      <w:r w:rsidRPr="00A20E22">
        <w:rPr>
          <w:sz w:val="26"/>
          <w:szCs w:val="26"/>
        </w:rPr>
        <w:t xml:space="preserve"> и выше – 81,0 тыс. </w:t>
      </w:r>
      <w:proofErr w:type="spellStart"/>
      <w:r w:rsidRPr="00A20E22">
        <w:rPr>
          <w:sz w:val="26"/>
          <w:szCs w:val="26"/>
        </w:rPr>
        <w:t>кВ</w:t>
      </w:r>
      <w:proofErr w:type="gramStart"/>
      <w:r w:rsidRPr="00A20E22">
        <w:rPr>
          <w:sz w:val="26"/>
          <w:szCs w:val="26"/>
        </w:rPr>
        <w:t>.А</w:t>
      </w:r>
      <w:proofErr w:type="spellEnd"/>
      <w:proofErr w:type="gramEnd"/>
      <w:r w:rsidRPr="00A20E22">
        <w:rPr>
          <w:sz w:val="26"/>
          <w:szCs w:val="26"/>
        </w:rPr>
        <w:t>;</w:t>
      </w:r>
    </w:p>
    <w:p w:rsidR="00955A21" w:rsidRPr="00A20E22" w:rsidRDefault="00955A21" w:rsidP="0030618B">
      <w:pPr>
        <w:ind w:firstLine="720"/>
        <w:jc w:val="both"/>
        <w:rPr>
          <w:sz w:val="26"/>
          <w:szCs w:val="26"/>
        </w:rPr>
      </w:pPr>
      <w:r w:rsidRPr="00A20E22">
        <w:rPr>
          <w:sz w:val="26"/>
          <w:szCs w:val="26"/>
        </w:rPr>
        <w:t>волоконно-оптические линии связи (передачи) – 6,6 км;</w:t>
      </w:r>
    </w:p>
    <w:p w:rsidR="00955A21" w:rsidRPr="00A20E22" w:rsidRDefault="00955A21" w:rsidP="0030618B">
      <w:pPr>
        <w:ind w:firstLine="720"/>
        <w:jc w:val="both"/>
        <w:rPr>
          <w:sz w:val="26"/>
          <w:szCs w:val="26"/>
        </w:rPr>
      </w:pPr>
      <w:r w:rsidRPr="00A20E22">
        <w:rPr>
          <w:sz w:val="26"/>
          <w:szCs w:val="26"/>
        </w:rPr>
        <w:t>торговые предприятия с общим объемом торговой площади 9,9 тыс. кв. м.</w:t>
      </w:r>
    </w:p>
    <w:p w:rsidR="00827FF7" w:rsidRPr="00A20E22" w:rsidRDefault="00827FF7" w:rsidP="00827FF7">
      <w:pPr>
        <w:widowControl w:val="0"/>
        <w:jc w:val="center"/>
        <w:rPr>
          <w:sz w:val="26"/>
          <w:szCs w:val="26"/>
        </w:rPr>
      </w:pPr>
    </w:p>
    <w:p w:rsidR="001B377D" w:rsidRPr="00A20E22" w:rsidRDefault="001B377D" w:rsidP="00827FF7">
      <w:pPr>
        <w:pStyle w:val="2"/>
        <w:numPr>
          <w:ilvl w:val="0"/>
          <w:numId w:val="0"/>
        </w:numPr>
        <w:rPr>
          <w:rFonts w:eastAsiaTheme="majorEastAsia"/>
          <w:color w:val="auto"/>
        </w:rPr>
      </w:pPr>
      <w:bookmarkStart w:id="6" w:name="_Toc10912541"/>
      <w:r w:rsidRPr="00A20E22">
        <w:rPr>
          <w:rFonts w:eastAsiaTheme="majorEastAsia"/>
          <w:color w:val="auto"/>
        </w:rPr>
        <w:t>Дорожное хозяйство</w:t>
      </w:r>
      <w:bookmarkEnd w:id="6"/>
    </w:p>
    <w:p w:rsidR="006E6F90" w:rsidRPr="00A20E22" w:rsidRDefault="006E6F90" w:rsidP="006E6F90">
      <w:pPr>
        <w:ind w:firstLine="709"/>
        <w:jc w:val="center"/>
        <w:rPr>
          <w:sz w:val="26"/>
          <w:szCs w:val="26"/>
        </w:rPr>
      </w:pPr>
    </w:p>
    <w:p w:rsidR="002855DB" w:rsidRPr="00A20E22" w:rsidRDefault="002855DB" w:rsidP="002855DB">
      <w:pPr>
        <w:ind w:firstLine="709"/>
        <w:jc w:val="both"/>
        <w:rPr>
          <w:sz w:val="26"/>
          <w:szCs w:val="26"/>
        </w:rPr>
      </w:pPr>
      <w:bookmarkStart w:id="7" w:name="_Toc10912542"/>
      <w:r w:rsidRPr="00A20E22">
        <w:rPr>
          <w:sz w:val="26"/>
          <w:szCs w:val="26"/>
        </w:rPr>
        <w:t>На 1 января 2019 года протяженность автомобильных дорог общего пользования федерального, регионального, межмуниципального и местного значения на территории автономного округа составила 7024,0 км</w:t>
      </w:r>
      <w:r w:rsidRPr="00A20E22">
        <w:rPr>
          <w:rStyle w:val="a8"/>
          <w:sz w:val="26"/>
          <w:szCs w:val="26"/>
        </w:rPr>
        <w:footnoteReference w:id="16"/>
      </w:r>
      <w:r w:rsidRPr="00A20E22">
        <w:rPr>
          <w:sz w:val="26"/>
          <w:szCs w:val="26"/>
        </w:rPr>
        <w:t>, в том числе:</w:t>
      </w:r>
    </w:p>
    <w:p w:rsidR="002855DB" w:rsidRPr="00A20E22" w:rsidRDefault="002855DB" w:rsidP="002855DB">
      <w:pPr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 xml:space="preserve">регионального значения – 2775,3 км; </w:t>
      </w:r>
    </w:p>
    <w:p w:rsidR="002855DB" w:rsidRPr="00A20E22" w:rsidRDefault="002855DB" w:rsidP="002855DB">
      <w:pPr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>федерального значения – 415,7 км.</w:t>
      </w:r>
    </w:p>
    <w:p w:rsidR="002855DB" w:rsidRPr="00A30F40" w:rsidRDefault="002855DB" w:rsidP="002855DB">
      <w:pPr>
        <w:widowControl w:val="0"/>
        <w:ind w:firstLine="709"/>
        <w:jc w:val="both"/>
        <w:rPr>
          <w:sz w:val="26"/>
          <w:szCs w:val="26"/>
        </w:rPr>
      </w:pPr>
      <w:r w:rsidRPr="00A30F40">
        <w:rPr>
          <w:sz w:val="26"/>
          <w:szCs w:val="26"/>
        </w:rPr>
        <w:t xml:space="preserve">Для обеспечения транспортной доступности поселений, не имеющих круглогодичной связи по автомобильным дорогам, в </w:t>
      </w:r>
      <w:r w:rsidR="00E75271" w:rsidRPr="00A30F40">
        <w:rPr>
          <w:sz w:val="26"/>
          <w:szCs w:val="26"/>
        </w:rPr>
        <w:t xml:space="preserve">январе-июне </w:t>
      </w:r>
      <w:r w:rsidRPr="00A30F40">
        <w:rPr>
          <w:sz w:val="26"/>
          <w:szCs w:val="26"/>
        </w:rPr>
        <w:t>2019 года выполнялись работы по содержанию 2390,0 км зимних автомобильных дорог и ледовых переправ общего пользования межмуниципального значения.</w:t>
      </w:r>
    </w:p>
    <w:p w:rsidR="002855DB" w:rsidRPr="00A30F40" w:rsidRDefault="002855DB" w:rsidP="002855DB">
      <w:pPr>
        <w:widowControl w:val="0"/>
        <w:ind w:firstLine="709"/>
        <w:jc w:val="both"/>
        <w:rPr>
          <w:sz w:val="26"/>
          <w:szCs w:val="26"/>
        </w:rPr>
      </w:pPr>
      <w:r w:rsidRPr="00A30F40">
        <w:rPr>
          <w:sz w:val="26"/>
          <w:szCs w:val="26"/>
        </w:rPr>
        <w:t>В 2019 году предусмотрено</w:t>
      </w:r>
      <w:r w:rsidR="00D572E1" w:rsidRPr="00A30F40">
        <w:rPr>
          <w:sz w:val="26"/>
          <w:szCs w:val="26"/>
        </w:rPr>
        <w:t xml:space="preserve"> </w:t>
      </w:r>
      <w:r w:rsidRPr="00A30F40">
        <w:rPr>
          <w:sz w:val="26"/>
          <w:szCs w:val="26"/>
        </w:rPr>
        <w:t>выполнение работ по реконструкции и строительству автомобильных дорог общего пользования местного значения (основное выполнение работ запланировано на II и III кварталы 2019 года). В целях уменьшения протяженности автомобильных дорог, находящихся в ненормативном состоянии, запланировано завершение ремонта и капитального ремонта на 58,3 км автомобильных дорог.</w:t>
      </w:r>
    </w:p>
    <w:p w:rsidR="002855DB" w:rsidRPr="00A30F40" w:rsidRDefault="002855DB" w:rsidP="002855DB">
      <w:pPr>
        <w:widowControl w:val="0"/>
        <w:ind w:firstLine="709"/>
        <w:jc w:val="both"/>
        <w:rPr>
          <w:sz w:val="26"/>
          <w:szCs w:val="26"/>
        </w:rPr>
      </w:pPr>
      <w:r w:rsidRPr="00A30F40">
        <w:rPr>
          <w:sz w:val="26"/>
          <w:szCs w:val="26"/>
        </w:rPr>
        <w:t xml:space="preserve">В целях реализации мероприятий, направленных на </w:t>
      </w:r>
      <w:proofErr w:type="spellStart"/>
      <w:r w:rsidRPr="00A30F40">
        <w:rPr>
          <w:sz w:val="26"/>
          <w:szCs w:val="26"/>
        </w:rPr>
        <w:t>импортозамещение</w:t>
      </w:r>
      <w:proofErr w:type="spellEnd"/>
      <w:r w:rsidRPr="00A30F40">
        <w:rPr>
          <w:sz w:val="26"/>
          <w:szCs w:val="26"/>
        </w:rPr>
        <w:t xml:space="preserve"> в дорожной деятельности, при выполнении дорожных работ в соответствии с утвержденной проектно-сметной документацией предусматривается применение местных материалов и материалов отечественного производства.</w:t>
      </w:r>
    </w:p>
    <w:p w:rsidR="002855DB" w:rsidRPr="00A30F40" w:rsidRDefault="002855DB" w:rsidP="002855DB">
      <w:pPr>
        <w:widowControl w:val="0"/>
        <w:ind w:firstLine="709"/>
        <w:jc w:val="both"/>
        <w:rPr>
          <w:sz w:val="26"/>
          <w:szCs w:val="26"/>
        </w:rPr>
      </w:pPr>
    </w:p>
    <w:p w:rsidR="00827FF7" w:rsidRPr="00A30F40" w:rsidRDefault="00827FF7" w:rsidP="00827FF7">
      <w:pPr>
        <w:pStyle w:val="2"/>
        <w:numPr>
          <w:ilvl w:val="0"/>
          <w:numId w:val="0"/>
        </w:numPr>
        <w:rPr>
          <w:rFonts w:eastAsiaTheme="majorEastAsia"/>
          <w:color w:val="auto"/>
        </w:rPr>
      </w:pPr>
      <w:r w:rsidRPr="00A30F40">
        <w:rPr>
          <w:rFonts w:eastAsiaTheme="majorEastAsia"/>
          <w:color w:val="auto"/>
        </w:rPr>
        <w:t>Транспорт</w:t>
      </w:r>
      <w:bookmarkEnd w:id="7"/>
    </w:p>
    <w:p w:rsidR="00827FF7" w:rsidRPr="00A30F40" w:rsidRDefault="00827FF7" w:rsidP="00827FF7">
      <w:pPr>
        <w:widowControl w:val="0"/>
        <w:ind w:firstLine="709"/>
        <w:jc w:val="both"/>
        <w:rPr>
          <w:rFonts w:eastAsia="Courier New"/>
          <w:sz w:val="26"/>
          <w:szCs w:val="26"/>
        </w:rPr>
      </w:pPr>
    </w:p>
    <w:p w:rsidR="008962FF" w:rsidRPr="00A20E22" w:rsidRDefault="008962FF" w:rsidP="008962FF">
      <w:pPr>
        <w:ind w:firstLine="708"/>
        <w:jc w:val="both"/>
        <w:rPr>
          <w:sz w:val="26"/>
          <w:szCs w:val="26"/>
        </w:rPr>
      </w:pPr>
      <w:r w:rsidRPr="00A30F40">
        <w:rPr>
          <w:sz w:val="26"/>
          <w:szCs w:val="26"/>
        </w:rPr>
        <w:t xml:space="preserve">В </w:t>
      </w:r>
      <w:r w:rsidR="00D572E1" w:rsidRPr="00A30F40">
        <w:rPr>
          <w:sz w:val="26"/>
          <w:szCs w:val="26"/>
        </w:rPr>
        <w:t xml:space="preserve">январе-июне </w:t>
      </w:r>
      <w:r w:rsidRPr="00A30F40">
        <w:rPr>
          <w:sz w:val="26"/>
          <w:szCs w:val="26"/>
        </w:rPr>
        <w:t>2019 года общий грузооборот в секторе транспортировки и хранения (</w:t>
      </w:r>
      <w:r w:rsidR="00C73166" w:rsidRPr="00A30F40">
        <w:rPr>
          <w:sz w:val="26"/>
          <w:szCs w:val="26"/>
        </w:rPr>
        <w:t>по полному кругу предприятий</w:t>
      </w:r>
      <w:r w:rsidR="0009446E" w:rsidRPr="00A30F40">
        <w:rPr>
          <w:sz w:val="26"/>
          <w:szCs w:val="26"/>
        </w:rPr>
        <w:t>, с учётом почтовых</w:t>
      </w:r>
      <w:r w:rsidR="0009446E" w:rsidRPr="00A20E22">
        <w:rPr>
          <w:sz w:val="26"/>
          <w:szCs w:val="26"/>
        </w:rPr>
        <w:t xml:space="preserve"> предприятий и курьерской деятельности</w:t>
      </w:r>
      <w:r w:rsidRPr="00A20E22">
        <w:rPr>
          <w:sz w:val="26"/>
          <w:szCs w:val="26"/>
        </w:rPr>
        <w:t xml:space="preserve">) составил </w:t>
      </w:r>
      <w:r w:rsidR="00B570BE" w:rsidRPr="00A20E22">
        <w:rPr>
          <w:sz w:val="26"/>
          <w:szCs w:val="26"/>
        </w:rPr>
        <w:t>275,5</w:t>
      </w:r>
      <w:r w:rsidRPr="00A20E22">
        <w:rPr>
          <w:sz w:val="26"/>
          <w:szCs w:val="26"/>
        </w:rPr>
        <w:t xml:space="preserve"> млрд. рублей</w:t>
      </w:r>
      <w:r w:rsidR="007709B3">
        <w:rPr>
          <w:sz w:val="26"/>
          <w:szCs w:val="26"/>
        </w:rPr>
        <w:t xml:space="preserve"> (</w:t>
      </w:r>
      <w:r w:rsidR="00F75A12">
        <w:rPr>
          <w:sz w:val="26"/>
          <w:szCs w:val="26"/>
        </w:rPr>
        <w:t>в январе</w:t>
      </w:r>
      <w:r w:rsidR="007709B3">
        <w:rPr>
          <w:sz w:val="26"/>
          <w:szCs w:val="26"/>
        </w:rPr>
        <w:t>-июн</w:t>
      </w:r>
      <w:r w:rsidR="00F75A12">
        <w:rPr>
          <w:sz w:val="26"/>
          <w:szCs w:val="26"/>
        </w:rPr>
        <w:t>е</w:t>
      </w:r>
      <w:r w:rsidR="007709B3">
        <w:rPr>
          <w:sz w:val="26"/>
          <w:szCs w:val="26"/>
        </w:rPr>
        <w:t xml:space="preserve"> 2018 года</w:t>
      </w:r>
      <w:r w:rsidR="00F75A12">
        <w:rPr>
          <w:sz w:val="26"/>
          <w:szCs w:val="26"/>
        </w:rPr>
        <w:t xml:space="preserve"> –290,3 </w:t>
      </w:r>
      <w:r w:rsidR="00F75A12" w:rsidRPr="00A20E22">
        <w:rPr>
          <w:sz w:val="26"/>
          <w:szCs w:val="26"/>
        </w:rPr>
        <w:t>млрд. рублей</w:t>
      </w:r>
      <w:r w:rsidR="007709B3">
        <w:rPr>
          <w:sz w:val="26"/>
          <w:szCs w:val="26"/>
        </w:rPr>
        <w:t>).</w:t>
      </w:r>
      <w:r w:rsidR="00D572E1">
        <w:rPr>
          <w:sz w:val="26"/>
          <w:szCs w:val="26"/>
        </w:rPr>
        <w:t xml:space="preserve"> </w:t>
      </w:r>
      <w:r w:rsidRPr="00A20E22">
        <w:rPr>
          <w:sz w:val="26"/>
          <w:szCs w:val="26"/>
        </w:rPr>
        <w:t>Основной объем услуг (</w:t>
      </w:r>
      <w:r w:rsidR="00B570BE" w:rsidRPr="00A20E22">
        <w:rPr>
          <w:sz w:val="26"/>
          <w:szCs w:val="26"/>
        </w:rPr>
        <w:t>86,4</w:t>
      </w:r>
      <w:r w:rsidR="00E31978">
        <w:rPr>
          <w:sz w:val="26"/>
          <w:szCs w:val="26"/>
        </w:rPr>
        <w:t> </w:t>
      </w:r>
      <w:r w:rsidRPr="00A20E22">
        <w:rPr>
          <w:sz w:val="26"/>
          <w:szCs w:val="26"/>
        </w:rPr>
        <w:t>%) выполнили организации трубопроводного транспорта.</w:t>
      </w:r>
    </w:p>
    <w:p w:rsidR="008962FF" w:rsidRPr="00980FB6" w:rsidRDefault="008962FF" w:rsidP="008962FF">
      <w:pPr>
        <w:widowControl w:val="0"/>
        <w:ind w:firstLine="709"/>
        <w:jc w:val="both"/>
        <w:rPr>
          <w:sz w:val="26"/>
          <w:szCs w:val="26"/>
        </w:rPr>
      </w:pPr>
      <w:r w:rsidRPr="00980FB6">
        <w:rPr>
          <w:sz w:val="26"/>
          <w:szCs w:val="26"/>
        </w:rPr>
        <w:t>Основное количество пассажирских перевозок в автономном округе (более 60</w:t>
      </w:r>
      <w:r w:rsidR="00D572E1" w:rsidRPr="00980FB6">
        <w:rPr>
          <w:sz w:val="26"/>
          <w:szCs w:val="26"/>
        </w:rPr>
        <w:t xml:space="preserve">,0 </w:t>
      </w:r>
      <w:r w:rsidRPr="00980FB6">
        <w:rPr>
          <w:sz w:val="26"/>
          <w:szCs w:val="26"/>
        </w:rPr>
        <w:t xml:space="preserve">%) приходится на долю пассажирских автотранспортных предприятий общего пользования. По оценке </w:t>
      </w:r>
      <w:proofErr w:type="spellStart"/>
      <w:r w:rsidRPr="00980FB6">
        <w:rPr>
          <w:sz w:val="26"/>
          <w:szCs w:val="26"/>
        </w:rPr>
        <w:t>Депдорхоз</w:t>
      </w:r>
      <w:proofErr w:type="spellEnd"/>
      <w:r w:rsidRPr="00980FB6">
        <w:rPr>
          <w:sz w:val="26"/>
          <w:szCs w:val="26"/>
        </w:rPr>
        <w:t xml:space="preserve"> и транспорта Югры за </w:t>
      </w:r>
      <w:r w:rsidR="00980FB6" w:rsidRPr="00980FB6">
        <w:rPr>
          <w:sz w:val="26"/>
          <w:szCs w:val="26"/>
        </w:rPr>
        <w:t xml:space="preserve">январь-июнь </w:t>
      </w:r>
      <w:r w:rsidRPr="00980FB6">
        <w:rPr>
          <w:sz w:val="26"/>
          <w:szCs w:val="26"/>
        </w:rPr>
        <w:t xml:space="preserve">2019 года </w:t>
      </w:r>
      <w:r w:rsidRPr="00980FB6">
        <w:rPr>
          <w:sz w:val="26"/>
          <w:szCs w:val="26"/>
        </w:rPr>
        <w:lastRenderedPageBreak/>
        <w:t>перевезено 20,1 млн. человек и 10,0 тыс. тонн грузов.</w:t>
      </w:r>
    </w:p>
    <w:p w:rsidR="008962FF" w:rsidRPr="00980FB6" w:rsidRDefault="008962FF" w:rsidP="008962FF">
      <w:pPr>
        <w:widowControl w:val="0"/>
        <w:ind w:firstLine="709"/>
        <w:jc w:val="both"/>
        <w:rPr>
          <w:sz w:val="26"/>
          <w:szCs w:val="26"/>
        </w:rPr>
      </w:pPr>
      <w:r w:rsidRPr="00980FB6">
        <w:rPr>
          <w:sz w:val="26"/>
          <w:szCs w:val="26"/>
        </w:rPr>
        <w:t>Аэропортами</w:t>
      </w:r>
      <w:r w:rsidRPr="00A20E22">
        <w:rPr>
          <w:sz w:val="26"/>
          <w:szCs w:val="26"/>
        </w:rPr>
        <w:t xml:space="preserve"> авто</w:t>
      </w:r>
      <w:r w:rsidR="004A34FF">
        <w:rPr>
          <w:sz w:val="26"/>
          <w:szCs w:val="26"/>
        </w:rPr>
        <w:t xml:space="preserve">номного округа обслужено 15439 </w:t>
      </w:r>
      <w:proofErr w:type="spellStart"/>
      <w:proofErr w:type="gramStart"/>
      <w:r w:rsidRPr="00A20E22">
        <w:rPr>
          <w:sz w:val="26"/>
          <w:szCs w:val="26"/>
        </w:rPr>
        <w:t>самолето</w:t>
      </w:r>
      <w:proofErr w:type="spellEnd"/>
      <w:r w:rsidRPr="00A20E22">
        <w:rPr>
          <w:sz w:val="26"/>
          <w:szCs w:val="26"/>
        </w:rPr>
        <w:t>-вылета</w:t>
      </w:r>
      <w:proofErr w:type="gramEnd"/>
      <w:r w:rsidRPr="00A20E22">
        <w:rPr>
          <w:sz w:val="26"/>
          <w:szCs w:val="26"/>
        </w:rPr>
        <w:t xml:space="preserve"> (</w:t>
      </w:r>
      <w:r w:rsidR="00980FB6">
        <w:rPr>
          <w:sz w:val="26"/>
          <w:szCs w:val="26"/>
        </w:rPr>
        <w:t xml:space="preserve">в </w:t>
      </w:r>
      <w:r w:rsidR="00980FB6" w:rsidRPr="00980FB6">
        <w:rPr>
          <w:sz w:val="26"/>
          <w:szCs w:val="26"/>
        </w:rPr>
        <w:t>январ</w:t>
      </w:r>
      <w:r w:rsidR="00980FB6">
        <w:rPr>
          <w:sz w:val="26"/>
          <w:szCs w:val="26"/>
        </w:rPr>
        <w:t>е</w:t>
      </w:r>
      <w:r w:rsidR="00980FB6" w:rsidRPr="00980FB6">
        <w:rPr>
          <w:sz w:val="26"/>
          <w:szCs w:val="26"/>
        </w:rPr>
        <w:t>-июн</w:t>
      </w:r>
      <w:r w:rsidR="00980FB6">
        <w:rPr>
          <w:sz w:val="26"/>
          <w:szCs w:val="26"/>
        </w:rPr>
        <w:t xml:space="preserve">е </w:t>
      </w:r>
      <w:r w:rsidRPr="00A20E22">
        <w:rPr>
          <w:sz w:val="26"/>
          <w:szCs w:val="26"/>
        </w:rPr>
        <w:t xml:space="preserve">2018 года – 13800 </w:t>
      </w:r>
      <w:proofErr w:type="spellStart"/>
      <w:r w:rsidRPr="00A20E22">
        <w:rPr>
          <w:sz w:val="26"/>
          <w:szCs w:val="26"/>
        </w:rPr>
        <w:t>самолето</w:t>
      </w:r>
      <w:proofErr w:type="spellEnd"/>
      <w:r w:rsidRPr="00A20E22">
        <w:rPr>
          <w:sz w:val="26"/>
          <w:szCs w:val="26"/>
        </w:rPr>
        <w:t xml:space="preserve">-вылетов). Объем пассажиропотока составил 799,5 тыс. человек, что на 11,5 % выше соответствующего периода предыдущего года. Объем </w:t>
      </w:r>
      <w:r w:rsidRPr="00980FB6">
        <w:rPr>
          <w:sz w:val="26"/>
          <w:szCs w:val="26"/>
        </w:rPr>
        <w:t xml:space="preserve">работ по обработке </w:t>
      </w:r>
      <w:proofErr w:type="spellStart"/>
      <w:r w:rsidRPr="00980FB6">
        <w:rPr>
          <w:sz w:val="26"/>
          <w:szCs w:val="26"/>
        </w:rPr>
        <w:t>грузобагажа</w:t>
      </w:r>
      <w:proofErr w:type="spellEnd"/>
      <w:r w:rsidRPr="00980FB6">
        <w:rPr>
          <w:sz w:val="26"/>
          <w:szCs w:val="26"/>
        </w:rPr>
        <w:t xml:space="preserve"> составил 3,1 тыс. тонн. </w:t>
      </w:r>
    </w:p>
    <w:p w:rsidR="008962FF" w:rsidRPr="00980FB6" w:rsidRDefault="008962FF" w:rsidP="008962FF">
      <w:pPr>
        <w:widowControl w:val="0"/>
        <w:ind w:firstLine="709"/>
        <w:jc w:val="both"/>
        <w:rPr>
          <w:sz w:val="26"/>
          <w:szCs w:val="26"/>
        </w:rPr>
      </w:pPr>
      <w:r w:rsidRPr="00980FB6">
        <w:rPr>
          <w:sz w:val="26"/>
          <w:szCs w:val="26"/>
        </w:rPr>
        <w:t xml:space="preserve">Предприятиями водного транспорта в границах автономного округа пассажирские перевозки осуществлялись по 28 маршрутам, выполнено 2211 рейсов, перевезено 101,8 тыс. человек, что на 29,7 % выше, чем в </w:t>
      </w:r>
      <w:r w:rsidR="00E31978">
        <w:rPr>
          <w:sz w:val="26"/>
          <w:szCs w:val="26"/>
        </w:rPr>
        <w:t>январе-июне</w:t>
      </w:r>
      <w:r w:rsidRPr="00980FB6">
        <w:rPr>
          <w:sz w:val="26"/>
          <w:szCs w:val="26"/>
        </w:rPr>
        <w:t xml:space="preserve"> 2018 года.</w:t>
      </w:r>
    </w:p>
    <w:p w:rsidR="008962FF" w:rsidRPr="00980FB6" w:rsidRDefault="008962FF" w:rsidP="008962FF">
      <w:pPr>
        <w:widowControl w:val="0"/>
        <w:ind w:firstLine="709"/>
        <w:jc w:val="both"/>
        <w:rPr>
          <w:sz w:val="26"/>
          <w:szCs w:val="26"/>
        </w:rPr>
      </w:pPr>
      <w:r w:rsidRPr="00980FB6">
        <w:rPr>
          <w:sz w:val="26"/>
          <w:szCs w:val="26"/>
        </w:rPr>
        <w:t xml:space="preserve">Количество пассажиров, отправленных железнодорожным транспортом в пределах автономного округа, составило 1116,1 тыс. человек, пассажирооборот </w:t>
      </w:r>
      <w:r w:rsidR="00726338" w:rsidRPr="00980FB6">
        <w:rPr>
          <w:sz w:val="26"/>
          <w:szCs w:val="26"/>
        </w:rPr>
        <w:t>–</w:t>
      </w:r>
      <w:r w:rsidRPr="00980FB6">
        <w:rPr>
          <w:sz w:val="26"/>
          <w:szCs w:val="26"/>
        </w:rPr>
        <w:t xml:space="preserve">984,5 млн. пасс-км. Объем погрузки </w:t>
      </w:r>
      <w:proofErr w:type="gramStart"/>
      <w:r w:rsidRPr="00980FB6">
        <w:rPr>
          <w:sz w:val="26"/>
          <w:szCs w:val="26"/>
        </w:rPr>
        <w:t xml:space="preserve">превысил уровень </w:t>
      </w:r>
      <w:r w:rsidR="00980FB6" w:rsidRPr="00980FB6">
        <w:rPr>
          <w:sz w:val="26"/>
          <w:szCs w:val="26"/>
        </w:rPr>
        <w:t>января-июня</w:t>
      </w:r>
      <w:r w:rsidR="00775279" w:rsidRPr="00980FB6">
        <w:rPr>
          <w:sz w:val="26"/>
          <w:szCs w:val="26"/>
        </w:rPr>
        <w:t xml:space="preserve"> 2018 года на 9,0 %</w:t>
      </w:r>
      <w:r w:rsidRPr="00980FB6">
        <w:rPr>
          <w:sz w:val="26"/>
          <w:szCs w:val="26"/>
        </w:rPr>
        <w:t xml:space="preserve"> и составил</w:t>
      </w:r>
      <w:proofErr w:type="gramEnd"/>
      <w:r w:rsidRPr="00980FB6">
        <w:rPr>
          <w:sz w:val="26"/>
          <w:szCs w:val="26"/>
        </w:rPr>
        <w:t xml:space="preserve"> 7,3 млн. тонн. Увеличение перевозки грузов обусловлено ростом объемов погрузки нефти и нефтепродуктов</w:t>
      </w:r>
      <w:r w:rsidR="00775279" w:rsidRPr="00980FB6">
        <w:rPr>
          <w:sz w:val="26"/>
          <w:szCs w:val="26"/>
        </w:rPr>
        <w:t>, а также пиломатериалов</w:t>
      </w:r>
      <w:r w:rsidRPr="00980FB6">
        <w:rPr>
          <w:sz w:val="26"/>
          <w:szCs w:val="26"/>
        </w:rPr>
        <w:t>.</w:t>
      </w:r>
    </w:p>
    <w:p w:rsidR="008F0A85" w:rsidRPr="00980FB6" w:rsidRDefault="008F0A85" w:rsidP="008F0A85">
      <w:pPr>
        <w:widowControl w:val="0"/>
        <w:ind w:firstLine="709"/>
        <w:jc w:val="both"/>
        <w:rPr>
          <w:sz w:val="26"/>
          <w:szCs w:val="26"/>
        </w:rPr>
      </w:pPr>
      <w:r w:rsidRPr="00980FB6">
        <w:rPr>
          <w:sz w:val="26"/>
          <w:szCs w:val="26"/>
        </w:rPr>
        <w:t>Продолжилось субсидирование пассажирских перевозок в соответствии с мероприятиями государственной программы «</w:t>
      </w:r>
      <w:r w:rsidR="0016479E">
        <w:rPr>
          <w:sz w:val="26"/>
          <w:szCs w:val="26"/>
        </w:rPr>
        <w:t xml:space="preserve">Современная </w:t>
      </w:r>
      <w:r w:rsidRPr="00980FB6">
        <w:rPr>
          <w:sz w:val="26"/>
          <w:szCs w:val="26"/>
        </w:rPr>
        <w:t>транспортн</w:t>
      </w:r>
      <w:r w:rsidR="0016479E">
        <w:rPr>
          <w:sz w:val="26"/>
          <w:szCs w:val="26"/>
        </w:rPr>
        <w:t>ая система</w:t>
      </w:r>
      <w:r w:rsidRPr="00980FB6">
        <w:rPr>
          <w:sz w:val="26"/>
          <w:szCs w:val="26"/>
        </w:rPr>
        <w:t xml:space="preserve">». </w:t>
      </w:r>
    </w:p>
    <w:p w:rsidR="008962FF" w:rsidRPr="00980FB6" w:rsidRDefault="008F0A85" w:rsidP="008F0A85">
      <w:pPr>
        <w:widowControl w:val="0"/>
        <w:ind w:firstLine="709"/>
        <w:jc w:val="both"/>
        <w:rPr>
          <w:sz w:val="26"/>
          <w:szCs w:val="26"/>
        </w:rPr>
      </w:pPr>
      <w:r w:rsidRPr="00980FB6">
        <w:rPr>
          <w:sz w:val="26"/>
          <w:szCs w:val="26"/>
        </w:rPr>
        <w:t>Это позволило сохранить оптимальную сеть социально значимых маршрутов, обеспечить транспортную доступность населения национальных посёлков и сельских поселений к объектам социальной инфраструктуры и снизить стоимость проезда в среднем</w:t>
      </w:r>
      <w:r w:rsidR="008962FF" w:rsidRPr="00980FB6">
        <w:rPr>
          <w:sz w:val="26"/>
          <w:szCs w:val="26"/>
        </w:rPr>
        <w:t>:</w:t>
      </w:r>
    </w:p>
    <w:p w:rsidR="00D572E1" w:rsidRPr="00980FB6" w:rsidRDefault="008962FF" w:rsidP="0030618B">
      <w:pPr>
        <w:widowControl w:val="0"/>
        <w:ind w:firstLine="709"/>
        <w:jc w:val="both"/>
        <w:rPr>
          <w:sz w:val="26"/>
          <w:szCs w:val="26"/>
        </w:rPr>
      </w:pPr>
      <w:r w:rsidRPr="00980FB6">
        <w:rPr>
          <w:sz w:val="26"/>
          <w:szCs w:val="26"/>
        </w:rPr>
        <w:t>на авиаперевозки –</w:t>
      </w:r>
      <w:r w:rsidR="00D572E1" w:rsidRPr="00980FB6">
        <w:rPr>
          <w:sz w:val="26"/>
          <w:szCs w:val="26"/>
        </w:rPr>
        <w:t xml:space="preserve"> на 50,0 %; </w:t>
      </w:r>
    </w:p>
    <w:p w:rsidR="00726338" w:rsidRPr="00980FB6" w:rsidRDefault="00726338" w:rsidP="0030618B">
      <w:pPr>
        <w:widowControl w:val="0"/>
        <w:ind w:firstLine="709"/>
        <w:jc w:val="both"/>
        <w:rPr>
          <w:sz w:val="26"/>
          <w:szCs w:val="26"/>
        </w:rPr>
      </w:pPr>
      <w:r w:rsidRPr="00980FB6">
        <w:rPr>
          <w:sz w:val="26"/>
          <w:szCs w:val="26"/>
        </w:rPr>
        <w:t>в пригородном сообщении железнодорожным транспортом – на 73,0 %;</w:t>
      </w:r>
    </w:p>
    <w:p w:rsidR="008962FF" w:rsidRPr="00980FB6" w:rsidRDefault="008962FF" w:rsidP="0030618B">
      <w:pPr>
        <w:widowControl w:val="0"/>
        <w:ind w:firstLine="709"/>
        <w:jc w:val="both"/>
        <w:rPr>
          <w:sz w:val="26"/>
          <w:szCs w:val="26"/>
        </w:rPr>
      </w:pPr>
      <w:r w:rsidRPr="00980FB6">
        <w:rPr>
          <w:sz w:val="26"/>
          <w:szCs w:val="26"/>
        </w:rPr>
        <w:t>на межмуниципальные и пригородные перевозки автомобильным транспортом – на 83,4 %;</w:t>
      </w:r>
    </w:p>
    <w:p w:rsidR="008962FF" w:rsidRPr="00D572E1" w:rsidRDefault="008962FF" w:rsidP="0030618B">
      <w:pPr>
        <w:widowControl w:val="0"/>
        <w:ind w:firstLine="709"/>
        <w:jc w:val="both"/>
        <w:rPr>
          <w:sz w:val="26"/>
          <w:szCs w:val="26"/>
        </w:rPr>
      </w:pPr>
      <w:r w:rsidRPr="00980FB6">
        <w:rPr>
          <w:sz w:val="26"/>
          <w:szCs w:val="26"/>
        </w:rPr>
        <w:t xml:space="preserve">на водном транспорте – на </w:t>
      </w:r>
      <w:r w:rsidR="00775279" w:rsidRPr="00980FB6">
        <w:rPr>
          <w:sz w:val="26"/>
          <w:szCs w:val="26"/>
        </w:rPr>
        <w:t>87,2</w:t>
      </w:r>
      <w:r w:rsidRPr="00980FB6">
        <w:rPr>
          <w:sz w:val="26"/>
          <w:szCs w:val="26"/>
        </w:rPr>
        <w:t xml:space="preserve"> %.</w:t>
      </w:r>
      <w:r w:rsidR="00726338">
        <w:rPr>
          <w:sz w:val="26"/>
          <w:szCs w:val="26"/>
        </w:rPr>
        <w:tab/>
      </w:r>
    </w:p>
    <w:p w:rsidR="00827FF7" w:rsidRPr="0030618B" w:rsidRDefault="00827FF7" w:rsidP="0030618B">
      <w:pPr>
        <w:widowControl w:val="0"/>
        <w:ind w:firstLine="709"/>
        <w:jc w:val="both"/>
        <w:rPr>
          <w:sz w:val="26"/>
          <w:szCs w:val="26"/>
        </w:rPr>
      </w:pPr>
    </w:p>
    <w:p w:rsidR="00827FF7" w:rsidRPr="00A20E22" w:rsidRDefault="00B81441" w:rsidP="00827FF7">
      <w:pPr>
        <w:pStyle w:val="2"/>
        <w:numPr>
          <w:ilvl w:val="0"/>
          <w:numId w:val="0"/>
        </w:numPr>
        <w:rPr>
          <w:rFonts w:eastAsiaTheme="majorEastAsia"/>
          <w:color w:val="auto"/>
          <w:lang w:val="ru-RU"/>
        </w:rPr>
      </w:pPr>
      <w:bookmarkStart w:id="8" w:name="_Toc10912543"/>
      <w:r w:rsidRPr="00A20E22">
        <w:rPr>
          <w:rFonts w:eastAsiaTheme="majorEastAsia"/>
          <w:color w:val="auto"/>
          <w:lang w:val="ru-RU"/>
        </w:rPr>
        <w:t>Информационное общество</w:t>
      </w:r>
      <w:bookmarkEnd w:id="8"/>
    </w:p>
    <w:p w:rsidR="00827FF7" w:rsidRPr="00A20E22" w:rsidRDefault="00827FF7" w:rsidP="00827FF7">
      <w:pPr>
        <w:widowControl w:val="0"/>
        <w:ind w:firstLine="709"/>
        <w:jc w:val="center"/>
        <w:rPr>
          <w:rFonts w:eastAsia="Courier New"/>
          <w:sz w:val="26"/>
          <w:szCs w:val="26"/>
        </w:rPr>
      </w:pPr>
    </w:p>
    <w:p w:rsidR="00C73166" w:rsidRPr="00A20E22" w:rsidRDefault="00C73166" w:rsidP="00C73166">
      <w:pPr>
        <w:widowControl w:val="0"/>
        <w:ind w:firstLine="709"/>
        <w:jc w:val="both"/>
        <w:rPr>
          <w:rFonts w:eastAsia="Calibri"/>
          <w:sz w:val="26"/>
          <w:szCs w:val="26"/>
          <w:lang w:eastAsia="ar-SA"/>
        </w:rPr>
      </w:pPr>
      <w:r w:rsidRPr="00A20E22">
        <w:rPr>
          <w:sz w:val="26"/>
          <w:szCs w:val="26"/>
        </w:rPr>
        <w:t xml:space="preserve">Объем выполненных </w:t>
      </w:r>
      <w:r w:rsidR="0009446E" w:rsidRPr="00A20E22">
        <w:rPr>
          <w:sz w:val="26"/>
          <w:szCs w:val="26"/>
        </w:rPr>
        <w:t xml:space="preserve">организациями </w:t>
      </w:r>
      <w:r w:rsidRPr="00A20E22">
        <w:rPr>
          <w:sz w:val="26"/>
          <w:szCs w:val="26"/>
        </w:rPr>
        <w:t xml:space="preserve">услуг в области информации и связи в </w:t>
      </w:r>
      <w:r w:rsidR="00980FB6">
        <w:rPr>
          <w:sz w:val="26"/>
          <w:szCs w:val="26"/>
        </w:rPr>
        <w:t>январе-июне</w:t>
      </w:r>
      <w:r w:rsidRPr="00A20E22">
        <w:rPr>
          <w:sz w:val="26"/>
          <w:szCs w:val="26"/>
        </w:rPr>
        <w:t xml:space="preserve"> 2019 года составил </w:t>
      </w:r>
      <w:r w:rsidR="008368F2" w:rsidRPr="00A20E22">
        <w:rPr>
          <w:sz w:val="26"/>
          <w:szCs w:val="26"/>
        </w:rPr>
        <w:t>15,0</w:t>
      </w:r>
      <w:r w:rsidRPr="00A20E22">
        <w:rPr>
          <w:sz w:val="26"/>
          <w:szCs w:val="26"/>
        </w:rPr>
        <w:t xml:space="preserve"> млрд. рублей</w:t>
      </w:r>
      <w:r w:rsidR="00F75A12">
        <w:rPr>
          <w:sz w:val="26"/>
          <w:szCs w:val="26"/>
        </w:rPr>
        <w:t xml:space="preserve"> (январь-июнь 2018 года – 15,5</w:t>
      </w:r>
      <w:r w:rsidR="00983B56">
        <w:rPr>
          <w:sz w:val="26"/>
          <w:szCs w:val="26"/>
        </w:rPr>
        <w:t xml:space="preserve"> </w:t>
      </w:r>
      <w:r w:rsidR="00F75A12" w:rsidRPr="00A20E22">
        <w:rPr>
          <w:sz w:val="26"/>
          <w:szCs w:val="26"/>
        </w:rPr>
        <w:t>млрд. рублей</w:t>
      </w:r>
      <w:r w:rsidR="00F75A12">
        <w:rPr>
          <w:sz w:val="26"/>
          <w:szCs w:val="26"/>
        </w:rPr>
        <w:t>)</w:t>
      </w:r>
      <w:r w:rsidRPr="00A20E22">
        <w:rPr>
          <w:sz w:val="26"/>
          <w:szCs w:val="26"/>
        </w:rPr>
        <w:t xml:space="preserve">. Основной объем услуг (71,9 %) выполнили </w:t>
      </w:r>
      <w:r w:rsidRPr="00A20E22">
        <w:rPr>
          <w:rFonts w:eastAsia="Calibri"/>
          <w:sz w:val="26"/>
          <w:szCs w:val="26"/>
          <w:lang w:eastAsia="ar-SA"/>
        </w:rPr>
        <w:t>организации в области связи на базе проводных и беспроводных технологий.</w:t>
      </w:r>
    </w:p>
    <w:p w:rsidR="00125385" w:rsidRDefault="00C73166" w:rsidP="00125385">
      <w:pPr>
        <w:pStyle w:val="af8"/>
        <w:ind w:firstLine="709"/>
        <w:jc w:val="both"/>
        <w:rPr>
          <w:sz w:val="28"/>
          <w:szCs w:val="28"/>
        </w:rPr>
      </w:pPr>
      <w:r w:rsidRPr="00A20E22">
        <w:rPr>
          <w:sz w:val="26"/>
          <w:szCs w:val="26"/>
        </w:rPr>
        <w:t xml:space="preserve">Сотовой связью охвачен 181 населенный пункт автономного округа или </w:t>
      </w:r>
      <w:r w:rsidRPr="00D572E1">
        <w:rPr>
          <w:sz w:val="26"/>
          <w:szCs w:val="26"/>
        </w:rPr>
        <w:t>92,8</w:t>
      </w:r>
      <w:r w:rsidR="00980FB6">
        <w:rPr>
          <w:sz w:val="26"/>
          <w:szCs w:val="26"/>
        </w:rPr>
        <w:t> </w:t>
      </w:r>
      <w:r w:rsidRPr="00D572E1">
        <w:rPr>
          <w:sz w:val="26"/>
          <w:szCs w:val="26"/>
        </w:rPr>
        <w:t>%</w:t>
      </w:r>
      <w:r w:rsidRPr="00A20E22">
        <w:rPr>
          <w:sz w:val="26"/>
          <w:szCs w:val="26"/>
        </w:rPr>
        <w:t xml:space="preserve"> от общего количества населенных пунктов. </w:t>
      </w:r>
      <w:r w:rsidR="00125385" w:rsidRPr="00A20E22">
        <w:rPr>
          <w:sz w:val="26"/>
          <w:szCs w:val="26"/>
        </w:rPr>
        <w:t xml:space="preserve">Обеспеченность населения мобильной связью составляет более 200,0 %, это связано с внедрением новых видов услуг, привлекающих потребителей, увеличением числа пользователей, обладающих несколькими </w:t>
      </w:r>
      <w:proofErr w:type="spellStart"/>
      <w:r w:rsidR="00125385" w:rsidRPr="00A20E22">
        <w:rPr>
          <w:sz w:val="26"/>
          <w:szCs w:val="26"/>
        </w:rPr>
        <w:t>sim</w:t>
      </w:r>
      <w:proofErr w:type="spellEnd"/>
      <w:r w:rsidR="00125385" w:rsidRPr="00A20E22">
        <w:rPr>
          <w:sz w:val="26"/>
          <w:szCs w:val="26"/>
        </w:rPr>
        <w:t xml:space="preserve">-картами. </w:t>
      </w:r>
      <w:r w:rsidRPr="00A20E22">
        <w:rPr>
          <w:sz w:val="26"/>
          <w:szCs w:val="26"/>
        </w:rPr>
        <w:t>Доля домохозяйств автономного округа, имеющих возможность пользоваться услугами проводного или беспроводного доступа в сеть Интернет на скорости не менее 1 Мбит/сек, предоставляемыми не менее чем 2 операторами связи и (или) провайдерами, составляет 90,0 %.</w:t>
      </w:r>
      <w:r w:rsidRPr="00A20E22">
        <w:rPr>
          <w:sz w:val="28"/>
          <w:szCs w:val="28"/>
        </w:rPr>
        <w:t xml:space="preserve"> </w:t>
      </w:r>
    </w:p>
    <w:p w:rsidR="00F65C18" w:rsidRPr="00A20E22" w:rsidRDefault="00F65C18" w:rsidP="00F65C18">
      <w:pPr>
        <w:pStyle w:val="af8"/>
        <w:ind w:firstLine="709"/>
        <w:jc w:val="both"/>
        <w:rPr>
          <w:sz w:val="28"/>
          <w:szCs w:val="28"/>
        </w:rPr>
      </w:pPr>
      <w:r w:rsidRPr="00980FB6">
        <w:rPr>
          <w:sz w:val="26"/>
          <w:szCs w:val="26"/>
        </w:rPr>
        <w:t>Параллельно в автономном округе развивается сеть центров общественного доступа. На 1 июля 2019 года</w:t>
      </w:r>
      <w:r w:rsidRPr="00980FB6">
        <w:rPr>
          <w:sz w:val="28"/>
          <w:szCs w:val="28"/>
        </w:rPr>
        <w:t xml:space="preserve"> </w:t>
      </w:r>
      <w:r w:rsidRPr="00980FB6">
        <w:rPr>
          <w:sz w:val="26"/>
          <w:szCs w:val="26"/>
        </w:rPr>
        <w:t>на территории автономного округа в 153 населенных пунктах автономного округа функционирует 229 центров общественного доступа (92 в отдаленных и труднодоступных районах), которые являются активными участниками проекта по обучению граждан цифровой грамотности.</w:t>
      </w:r>
    </w:p>
    <w:p w:rsidR="00C73166" w:rsidRPr="00980FB6" w:rsidRDefault="00C73166" w:rsidP="00C73166">
      <w:pPr>
        <w:widowControl w:val="0"/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 xml:space="preserve">На территории автономного округа транслируются первый и второй мультиплексы стандарта DVB-T2, состоящие из 20 общероссийских обязательных </w:t>
      </w:r>
      <w:r w:rsidRPr="00A20E22">
        <w:rPr>
          <w:sz w:val="26"/>
          <w:szCs w:val="26"/>
        </w:rPr>
        <w:lastRenderedPageBreak/>
        <w:t xml:space="preserve">общедоступных телевизионных каналов. Эфирная цифровая наземная трансляция </w:t>
      </w:r>
      <w:r w:rsidRPr="00980FB6">
        <w:rPr>
          <w:sz w:val="26"/>
          <w:szCs w:val="26"/>
        </w:rPr>
        <w:t xml:space="preserve">указанных мультиплексов осуществляется посредством 80 телевизионных передатчиков, которые позволяют обеспечить цифровым телесигналом 99,6 % населения округа. </w:t>
      </w:r>
    </w:p>
    <w:p w:rsidR="00C73166" w:rsidRPr="00A20E22" w:rsidRDefault="00C73166" w:rsidP="001F69D5">
      <w:pPr>
        <w:pStyle w:val="af8"/>
        <w:ind w:firstLine="720"/>
        <w:jc w:val="both"/>
        <w:rPr>
          <w:sz w:val="26"/>
          <w:szCs w:val="26"/>
        </w:rPr>
      </w:pPr>
      <w:r w:rsidRPr="00A20E22">
        <w:rPr>
          <w:sz w:val="26"/>
          <w:szCs w:val="26"/>
        </w:rPr>
        <w:t>Предоставление услуг почтовой связи осуществляет Управление Федеральной почтовой связи – филиал ФГУП «Почта России». В состав филиала входит 6 почтамтов, 10 участков обработки страховой почты, 6 участков курьерской доставки, 201 отделение почтовой связи, из них 103 находятся в сельской местности. В отделениях почтовой связи работают 50 окон «Почта банка».</w:t>
      </w:r>
    </w:p>
    <w:p w:rsidR="00827FF7" w:rsidRPr="00A20E22" w:rsidRDefault="00827FF7" w:rsidP="00827FF7">
      <w:pPr>
        <w:widowControl w:val="0"/>
        <w:ind w:firstLine="709"/>
        <w:jc w:val="center"/>
        <w:rPr>
          <w:sz w:val="26"/>
          <w:szCs w:val="26"/>
        </w:rPr>
      </w:pPr>
    </w:p>
    <w:p w:rsidR="00827FF7" w:rsidRPr="00A20E22" w:rsidRDefault="00827FF7" w:rsidP="00827FF7">
      <w:pPr>
        <w:pStyle w:val="2"/>
        <w:numPr>
          <w:ilvl w:val="0"/>
          <w:numId w:val="0"/>
        </w:numPr>
        <w:rPr>
          <w:rFonts w:eastAsiaTheme="majorEastAsia"/>
          <w:color w:val="auto"/>
        </w:rPr>
      </w:pPr>
      <w:bookmarkStart w:id="9" w:name="_Toc10912544"/>
      <w:r w:rsidRPr="00A20E22">
        <w:rPr>
          <w:rFonts w:eastAsiaTheme="majorEastAsia"/>
          <w:color w:val="auto"/>
        </w:rPr>
        <w:t>Жилищно-коммунальный комплекс</w:t>
      </w:r>
      <w:bookmarkEnd w:id="9"/>
    </w:p>
    <w:p w:rsidR="00827FF7" w:rsidRPr="00A20E22" w:rsidRDefault="00827FF7" w:rsidP="00827FF7">
      <w:pPr>
        <w:widowControl w:val="0"/>
        <w:ind w:firstLine="709"/>
        <w:jc w:val="both"/>
        <w:rPr>
          <w:sz w:val="26"/>
          <w:szCs w:val="26"/>
        </w:rPr>
      </w:pPr>
    </w:p>
    <w:p w:rsidR="002B7DB8" w:rsidRPr="00A20E22" w:rsidRDefault="00173D00" w:rsidP="00D03D45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>Общая площадь жилищного фонда на 1 июля 2019 года составила 35186,5</w:t>
      </w:r>
      <w:r w:rsidRPr="00A20E22">
        <w:rPr>
          <w:bCs/>
          <w:sz w:val="26"/>
          <w:szCs w:val="26"/>
        </w:rPr>
        <w:t xml:space="preserve"> тыс. кв. </w:t>
      </w:r>
      <w:r w:rsidRPr="00A20E22">
        <w:rPr>
          <w:sz w:val="26"/>
          <w:szCs w:val="26"/>
        </w:rPr>
        <w:t>м</w:t>
      </w:r>
      <w:r w:rsidRPr="00A20E22">
        <w:rPr>
          <w:rStyle w:val="a8"/>
          <w:sz w:val="26"/>
          <w:szCs w:val="26"/>
        </w:rPr>
        <w:footnoteReference w:id="17"/>
      </w:r>
      <w:r w:rsidRPr="00A20E22">
        <w:rPr>
          <w:sz w:val="26"/>
          <w:szCs w:val="26"/>
        </w:rPr>
        <w:t xml:space="preserve">. Структура жилищного фонда на 90,5 % представлена частной формой собственности, 8,2 % муниципальной и 1,3 % государственной и смешанной формой собственности. </w:t>
      </w:r>
    </w:p>
    <w:p w:rsidR="00D03D45" w:rsidRPr="00A20E22" w:rsidRDefault="00D03D45" w:rsidP="00D03D45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 xml:space="preserve">В январе-июне 2019 года </w:t>
      </w:r>
      <w:r w:rsidR="00980FB6">
        <w:rPr>
          <w:sz w:val="26"/>
          <w:szCs w:val="26"/>
        </w:rPr>
        <w:t>увеличилась</w:t>
      </w:r>
      <w:r w:rsidRPr="00A20E22">
        <w:rPr>
          <w:sz w:val="26"/>
          <w:szCs w:val="26"/>
        </w:rPr>
        <w:t xml:space="preserve"> обеспеченность населения жильем, площадь жилищ в среднем на одного жителя составила 21,2 кв. м (январь-июнь 2018 – 20,9 кв. м)</w:t>
      </w:r>
      <w:r w:rsidRPr="00A20E22">
        <w:rPr>
          <w:sz w:val="26"/>
          <w:szCs w:val="26"/>
          <w:vertAlign w:val="superscript"/>
        </w:rPr>
        <w:footnoteReference w:id="18"/>
      </w:r>
      <w:r w:rsidRPr="00A20E22">
        <w:rPr>
          <w:sz w:val="26"/>
          <w:szCs w:val="26"/>
        </w:rPr>
        <w:t xml:space="preserve">. </w:t>
      </w:r>
    </w:p>
    <w:p w:rsidR="00173D00" w:rsidRPr="00A20E22" w:rsidRDefault="00173D00" w:rsidP="00173D00">
      <w:pPr>
        <w:widowControl w:val="0"/>
        <w:ind w:firstLine="709"/>
        <w:jc w:val="both"/>
        <w:rPr>
          <w:rFonts w:eastAsia="Courier New"/>
          <w:sz w:val="26"/>
          <w:szCs w:val="26"/>
        </w:rPr>
      </w:pPr>
      <w:r w:rsidRPr="00A20E22">
        <w:rPr>
          <w:sz w:val="26"/>
          <w:szCs w:val="26"/>
        </w:rPr>
        <w:t xml:space="preserve">Жилищно-коммунальные услуги оказывают </w:t>
      </w:r>
      <w:r w:rsidRPr="00A20E22">
        <w:rPr>
          <w:rFonts w:eastAsia="Courier New"/>
          <w:sz w:val="26"/>
          <w:szCs w:val="26"/>
        </w:rPr>
        <w:t xml:space="preserve">495 организаций различных форм собственности, из них </w:t>
      </w:r>
      <w:r w:rsidRPr="00A20E22">
        <w:rPr>
          <w:sz w:val="26"/>
          <w:szCs w:val="26"/>
        </w:rPr>
        <w:t xml:space="preserve">62,0 % – </w:t>
      </w:r>
      <w:r w:rsidRPr="00A20E22">
        <w:rPr>
          <w:rFonts w:eastAsia="Courier New"/>
          <w:sz w:val="26"/>
          <w:szCs w:val="26"/>
        </w:rPr>
        <w:t>частной формы собственности.</w:t>
      </w:r>
    </w:p>
    <w:p w:rsidR="00173D00" w:rsidRPr="002D66B7" w:rsidRDefault="00173D00" w:rsidP="00173D00">
      <w:pPr>
        <w:widowControl w:val="0"/>
        <w:ind w:firstLine="709"/>
        <w:jc w:val="both"/>
        <w:rPr>
          <w:sz w:val="26"/>
          <w:szCs w:val="26"/>
        </w:rPr>
      </w:pPr>
      <w:proofErr w:type="gramStart"/>
      <w:r w:rsidRPr="00A20E22">
        <w:rPr>
          <w:sz w:val="26"/>
          <w:szCs w:val="26"/>
        </w:rPr>
        <w:t xml:space="preserve">В автономном округе удельный вес общей площади жилищного фонда </w:t>
      </w:r>
      <w:r w:rsidRPr="002D66B7">
        <w:rPr>
          <w:sz w:val="26"/>
          <w:szCs w:val="26"/>
        </w:rPr>
        <w:t>автономного округа, имеющей комплексное благоустройство, составляет 85,9 %, при этом в городских поселениях – 87,9 %, в сельских – 49,9 %.</w:t>
      </w:r>
      <w:proofErr w:type="gramEnd"/>
    </w:p>
    <w:p w:rsidR="00B317E2" w:rsidRPr="002D66B7" w:rsidRDefault="00B317E2" w:rsidP="00B317E2">
      <w:pPr>
        <w:widowControl w:val="0"/>
        <w:ind w:firstLine="709"/>
        <w:jc w:val="both"/>
        <w:rPr>
          <w:rFonts w:eastAsia="Courier New"/>
          <w:sz w:val="26"/>
          <w:szCs w:val="26"/>
        </w:rPr>
      </w:pPr>
      <w:r w:rsidRPr="002D66B7">
        <w:rPr>
          <w:rFonts w:eastAsia="Courier New"/>
          <w:sz w:val="26"/>
          <w:szCs w:val="26"/>
        </w:rPr>
        <w:t>Уровень газификации населенных пунктов Югры составляет 41,4 %, в том числе газификация городов – 100,0 %, сельских населенных пунктов – 44,2 %. Всего в Югре газифицировано 82 населенных пункта (113 – не газифицировано).</w:t>
      </w:r>
    </w:p>
    <w:p w:rsidR="00B317E2" w:rsidRPr="002D66B7" w:rsidRDefault="00B317E2" w:rsidP="00B317E2">
      <w:pPr>
        <w:widowControl w:val="0"/>
        <w:ind w:firstLine="709"/>
        <w:jc w:val="both"/>
        <w:rPr>
          <w:sz w:val="26"/>
          <w:szCs w:val="26"/>
        </w:rPr>
      </w:pPr>
      <w:r w:rsidRPr="002D66B7">
        <w:rPr>
          <w:sz w:val="26"/>
          <w:szCs w:val="26"/>
        </w:rPr>
        <w:t xml:space="preserve">Объекты коммунальной структуры представлены источниками теплоснабжения – </w:t>
      </w:r>
      <w:r w:rsidR="002D66B7" w:rsidRPr="002D66B7">
        <w:rPr>
          <w:sz w:val="26"/>
          <w:szCs w:val="26"/>
        </w:rPr>
        <w:t>510</w:t>
      </w:r>
      <w:r w:rsidRPr="002D66B7">
        <w:rPr>
          <w:sz w:val="26"/>
          <w:szCs w:val="26"/>
        </w:rPr>
        <w:t xml:space="preserve"> котельных установок, тепловыми сетями общей протяженностью </w:t>
      </w:r>
      <w:r w:rsidR="002D66B7" w:rsidRPr="002D66B7">
        <w:rPr>
          <w:sz w:val="26"/>
          <w:szCs w:val="26"/>
        </w:rPr>
        <w:t xml:space="preserve">3499,1 </w:t>
      </w:r>
      <w:r w:rsidRPr="002D66B7">
        <w:rPr>
          <w:sz w:val="26"/>
          <w:szCs w:val="26"/>
        </w:rPr>
        <w:t>км в двухтрубном исчислении, водопроводн</w:t>
      </w:r>
      <w:r w:rsidR="002D66B7" w:rsidRPr="002D66B7">
        <w:rPr>
          <w:sz w:val="26"/>
          <w:szCs w:val="26"/>
        </w:rPr>
        <w:t>ыми</w:t>
      </w:r>
      <w:r w:rsidR="002D66B7">
        <w:rPr>
          <w:sz w:val="26"/>
          <w:szCs w:val="26"/>
        </w:rPr>
        <w:t xml:space="preserve"> сетями общей протяженностью 4222,8</w:t>
      </w:r>
      <w:r w:rsidRPr="002D66B7">
        <w:rPr>
          <w:sz w:val="26"/>
          <w:szCs w:val="26"/>
        </w:rPr>
        <w:t xml:space="preserve"> км, канализационными сетями общей протяженностью </w:t>
      </w:r>
      <w:r w:rsidR="002D66B7">
        <w:rPr>
          <w:sz w:val="26"/>
          <w:szCs w:val="26"/>
        </w:rPr>
        <w:t>2823,2</w:t>
      </w:r>
      <w:r w:rsidRPr="002D66B7">
        <w:rPr>
          <w:sz w:val="26"/>
          <w:szCs w:val="26"/>
        </w:rPr>
        <w:t xml:space="preserve"> км, газовыми сетями общей протяженностью </w:t>
      </w:r>
      <w:r w:rsidR="002D66B7" w:rsidRPr="002D66B7">
        <w:rPr>
          <w:sz w:val="26"/>
          <w:szCs w:val="26"/>
        </w:rPr>
        <w:t>2674,5</w:t>
      </w:r>
      <w:r w:rsidRPr="002D66B7">
        <w:rPr>
          <w:sz w:val="26"/>
          <w:szCs w:val="26"/>
        </w:rPr>
        <w:t xml:space="preserve"> км и </w:t>
      </w:r>
      <w:r w:rsidR="002D66B7" w:rsidRPr="002D66B7">
        <w:rPr>
          <w:sz w:val="26"/>
          <w:szCs w:val="26"/>
        </w:rPr>
        <w:t>301</w:t>
      </w:r>
      <w:r w:rsidRPr="002D66B7">
        <w:rPr>
          <w:sz w:val="26"/>
          <w:szCs w:val="26"/>
        </w:rPr>
        <w:t xml:space="preserve"> газораспределительным пунктом.</w:t>
      </w:r>
    </w:p>
    <w:p w:rsidR="00173D00" w:rsidRPr="00A20E22" w:rsidRDefault="00173D00" w:rsidP="00B317E2">
      <w:pPr>
        <w:widowControl w:val="0"/>
        <w:ind w:firstLine="709"/>
        <w:jc w:val="both"/>
        <w:rPr>
          <w:rFonts w:eastAsia="Courier New"/>
          <w:sz w:val="26"/>
          <w:szCs w:val="26"/>
        </w:rPr>
      </w:pPr>
      <w:proofErr w:type="gramStart"/>
      <w:r w:rsidRPr="00A20E22">
        <w:rPr>
          <w:sz w:val="26"/>
          <w:szCs w:val="26"/>
        </w:rPr>
        <w:t>В автономном округе продолжена реализация мероприятий, направленных на капитальный ремонт многоквартирных домов (далее – МКД) и благоустройство дворовых территорий посредством государственной программы капитального ремонта общего имущества в многоквартирных домах, на период с 2014 по 2043 годы (далее – Программа)</w:t>
      </w:r>
      <w:r w:rsidRPr="00A20E22">
        <w:rPr>
          <w:sz w:val="26"/>
          <w:szCs w:val="26"/>
          <w:vertAlign w:val="superscript"/>
        </w:rPr>
        <w:footnoteReference w:id="19"/>
      </w:r>
      <w:r w:rsidRPr="00A20E22">
        <w:rPr>
          <w:sz w:val="26"/>
          <w:szCs w:val="26"/>
        </w:rPr>
        <w:t xml:space="preserve">. </w:t>
      </w:r>
      <w:r w:rsidRPr="00A20E22">
        <w:rPr>
          <w:rFonts w:eastAsia="Courier New"/>
          <w:sz w:val="26"/>
          <w:szCs w:val="26"/>
        </w:rPr>
        <w:t>В Программу капитального ремонта включено 6525 (редакция от 29.03.2019) многоквартирных дома общей площадью более 31,1 млн. кв. м., в которых проживают более 420</w:t>
      </w:r>
      <w:proofErr w:type="gramEnd"/>
      <w:r w:rsidRPr="00A20E22">
        <w:rPr>
          <w:rFonts w:eastAsia="Courier New"/>
          <w:sz w:val="26"/>
          <w:szCs w:val="26"/>
        </w:rPr>
        <w:t xml:space="preserve"> тыс. семей.  </w:t>
      </w:r>
    </w:p>
    <w:p w:rsidR="00173D00" w:rsidRPr="00A20E22" w:rsidRDefault="00173D00" w:rsidP="00173D00">
      <w:pPr>
        <w:ind w:firstLine="709"/>
        <w:jc w:val="both"/>
        <w:rPr>
          <w:rFonts w:eastAsia="Courier New"/>
          <w:sz w:val="26"/>
          <w:szCs w:val="26"/>
        </w:rPr>
      </w:pPr>
      <w:r w:rsidRPr="00A20E22">
        <w:rPr>
          <w:rFonts w:eastAsia="Courier New"/>
          <w:sz w:val="26"/>
          <w:szCs w:val="26"/>
        </w:rPr>
        <w:t>На 1 июля 2019 года полностью завершен капитальный ремонт 606 МКД, в которых проживает 122 тыс. человек. Выполнены работы по капремонту 1675 конструктивов на сумму 1,9 млрд. рублей. Процент исполнения программы –        99,0 % (по количеству МКД).</w:t>
      </w:r>
    </w:p>
    <w:p w:rsidR="00173D00" w:rsidRPr="00980FB6" w:rsidRDefault="00173D00" w:rsidP="00173D00">
      <w:pPr>
        <w:ind w:firstLine="709"/>
        <w:jc w:val="both"/>
        <w:rPr>
          <w:rFonts w:eastAsia="Courier New"/>
          <w:sz w:val="26"/>
          <w:szCs w:val="26"/>
        </w:rPr>
      </w:pPr>
      <w:r w:rsidRPr="00A20E22">
        <w:rPr>
          <w:rFonts w:eastAsia="Courier New"/>
          <w:sz w:val="26"/>
          <w:szCs w:val="26"/>
        </w:rPr>
        <w:lastRenderedPageBreak/>
        <w:t xml:space="preserve">В целях оперативного </w:t>
      </w:r>
      <w:r w:rsidRPr="00980FB6">
        <w:rPr>
          <w:rFonts w:eastAsia="Courier New"/>
          <w:sz w:val="26"/>
          <w:szCs w:val="26"/>
        </w:rPr>
        <w:t>предоставления гражданам информации о капитальном ремонте МКД, проводимом в Югре</w:t>
      </w:r>
      <w:r w:rsidR="00F65C18" w:rsidRPr="00980FB6">
        <w:rPr>
          <w:rFonts w:eastAsia="Courier New"/>
          <w:sz w:val="26"/>
          <w:szCs w:val="26"/>
        </w:rPr>
        <w:t>,</w:t>
      </w:r>
      <w:r w:rsidRPr="00980FB6">
        <w:rPr>
          <w:rFonts w:eastAsia="Courier New"/>
          <w:sz w:val="26"/>
          <w:szCs w:val="26"/>
        </w:rPr>
        <w:t xml:space="preserve"> создан</w:t>
      </w:r>
      <w:r w:rsidRPr="00A20E22">
        <w:rPr>
          <w:rFonts w:eastAsia="Courier New"/>
          <w:sz w:val="26"/>
          <w:szCs w:val="26"/>
        </w:rPr>
        <w:t xml:space="preserve"> официальный сайт Югорского фонда капитального ремонта, который включает сведения о сроках капитального ремонта, общую информацию о каждом МКД, вошедшем в Программу, истории платежей по конкретному лицевому счету. В личном кабинете зарегистрировано около </w:t>
      </w:r>
      <w:r w:rsidR="00337905" w:rsidRPr="00A20E22">
        <w:rPr>
          <w:rFonts w:eastAsia="Courier New"/>
          <w:sz w:val="26"/>
          <w:szCs w:val="26"/>
        </w:rPr>
        <w:t>73000 активных</w:t>
      </w:r>
      <w:r w:rsidRPr="00A20E22">
        <w:rPr>
          <w:rFonts w:eastAsia="Courier New"/>
          <w:sz w:val="26"/>
          <w:szCs w:val="26"/>
        </w:rPr>
        <w:t xml:space="preserve"> собственников. На сайте также размещены нормативно-правовые акты, образцы документов и другие полезные ссылки. Кроме того, на сайте в круглосуточном режиме есть возможность задать </w:t>
      </w:r>
      <w:r w:rsidRPr="00980FB6">
        <w:rPr>
          <w:rFonts w:eastAsia="Courier New"/>
          <w:sz w:val="26"/>
          <w:szCs w:val="26"/>
        </w:rPr>
        <w:t xml:space="preserve">вопрос специалисту. В </w:t>
      </w:r>
      <w:r w:rsidR="00980FB6" w:rsidRPr="00980FB6">
        <w:rPr>
          <w:rFonts w:eastAsia="Courier New"/>
          <w:sz w:val="26"/>
          <w:szCs w:val="26"/>
        </w:rPr>
        <w:t>январе-июне</w:t>
      </w:r>
      <w:r w:rsidRPr="00980FB6">
        <w:rPr>
          <w:rFonts w:eastAsia="Courier New"/>
          <w:sz w:val="26"/>
          <w:szCs w:val="26"/>
        </w:rPr>
        <w:t xml:space="preserve"> 2019 года этой возможностью воспользовались 7562 граждан</w:t>
      </w:r>
      <w:r w:rsidR="00983B56" w:rsidRPr="00980FB6">
        <w:rPr>
          <w:rFonts w:eastAsia="Courier New"/>
          <w:sz w:val="26"/>
          <w:szCs w:val="26"/>
        </w:rPr>
        <w:t>ина</w:t>
      </w:r>
      <w:r w:rsidRPr="00980FB6">
        <w:rPr>
          <w:rFonts w:eastAsia="Courier New"/>
          <w:sz w:val="26"/>
          <w:szCs w:val="26"/>
        </w:rPr>
        <w:t>, по каналам «горячей линии» получено 12596 обращений.</w:t>
      </w:r>
    </w:p>
    <w:p w:rsidR="00173D00" w:rsidRPr="00A20E22" w:rsidRDefault="00173D00" w:rsidP="00173D00">
      <w:pPr>
        <w:ind w:firstLine="709"/>
        <w:jc w:val="both"/>
        <w:rPr>
          <w:sz w:val="26"/>
          <w:szCs w:val="26"/>
        </w:rPr>
      </w:pPr>
      <w:r w:rsidRPr="00980FB6">
        <w:rPr>
          <w:sz w:val="26"/>
          <w:szCs w:val="26"/>
        </w:rPr>
        <w:t>В целях создания условий для развития конкуренции на рынке услуг</w:t>
      </w:r>
      <w:r w:rsidRPr="00A20E22">
        <w:rPr>
          <w:sz w:val="26"/>
          <w:szCs w:val="26"/>
        </w:rPr>
        <w:t xml:space="preserve"> жилищно-коммунального хозяйства изменились подходы к управлению предприятиями коммунального комплекса, проводится планомерная работа, направленная на заключение концессионных соглашений.</w:t>
      </w:r>
    </w:p>
    <w:p w:rsidR="00173D00" w:rsidRPr="00A20E22" w:rsidRDefault="00173D00" w:rsidP="00173D00">
      <w:pPr>
        <w:ind w:firstLine="709"/>
        <w:jc w:val="both"/>
        <w:rPr>
          <w:rFonts w:eastAsia="Courier New"/>
          <w:sz w:val="26"/>
          <w:szCs w:val="26"/>
        </w:rPr>
      </w:pPr>
      <w:r w:rsidRPr="00A20E22">
        <w:rPr>
          <w:rFonts w:eastAsia="Courier New"/>
          <w:sz w:val="26"/>
          <w:szCs w:val="26"/>
        </w:rPr>
        <w:t xml:space="preserve">Примерами государственно-частного партнерства на условиях концессии в округе являются концессионные соглашения в отношении коммунальной инфраструктуры Когалыма, </w:t>
      </w:r>
      <w:proofErr w:type="spellStart"/>
      <w:r w:rsidRPr="00A20E22">
        <w:rPr>
          <w:rFonts w:eastAsia="Courier New"/>
          <w:sz w:val="26"/>
          <w:szCs w:val="26"/>
        </w:rPr>
        <w:t>Лангепаса</w:t>
      </w:r>
      <w:proofErr w:type="spellEnd"/>
      <w:r w:rsidRPr="00A20E22">
        <w:rPr>
          <w:rFonts w:eastAsia="Courier New"/>
          <w:sz w:val="26"/>
          <w:szCs w:val="26"/>
        </w:rPr>
        <w:t xml:space="preserve">, Радужного, </w:t>
      </w:r>
      <w:proofErr w:type="spellStart"/>
      <w:r w:rsidRPr="00A20E22">
        <w:rPr>
          <w:rFonts w:eastAsia="Courier New"/>
          <w:sz w:val="26"/>
          <w:szCs w:val="26"/>
        </w:rPr>
        <w:t>Нягани</w:t>
      </w:r>
      <w:proofErr w:type="spellEnd"/>
      <w:r w:rsidRPr="00A20E22">
        <w:rPr>
          <w:rFonts w:eastAsia="Courier New"/>
          <w:sz w:val="26"/>
          <w:szCs w:val="26"/>
        </w:rPr>
        <w:t xml:space="preserve">, </w:t>
      </w:r>
      <w:proofErr w:type="spellStart"/>
      <w:r w:rsidRPr="00A20E22">
        <w:rPr>
          <w:rFonts w:eastAsia="Courier New"/>
          <w:sz w:val="26"/>
          <w:szCs w:val="26"/>
        </w:rPr>
        <w:t>Урая</w:t>
      </w:r>
      <w:proofErr w:type="spellEnd"/>
      <w:r w:rsidRPr="00A20E22">
        <w:rPr>
          <w:rFonts w:eastAsia="Courier New"/>
          <w:sz w:val="26"/>
          <w:szCs w:val="26"/>
        </w:rPr>
        <w:t xml:space="preserve">, </w:t>
      </w:r>
      <w:proofErr w:type="spellStart"/>
      <w:r w:rsidRPr="00A20E22">
        <w:rPr>
          <w:rFonts w:eastAsia="Courier New"/>
          <w:sz w:val="26"/>
          <w:szCs w:val="26"/>
        </w:rPr>
        <w:t>Покачей</w:t>
      </w:r>
      <w:proofErr w:type="spellEnd"/>
      <w:r w:rsidRPr="00A20E22">
        <w:rPr>
          <w:rFonts w:eastAsia="Courier New"/>
          <w:sz w:val="26"/>
          <w:szCs w:val="26"/>
        </w:rPr>
        <w:t xml:space="preserve">, а также населенных пунктов Октябрьского, Советского, </w:t>
      </w:r>
      <w:proofErr w:type="spellStart"/>
      <w:r w:rsidRPr="00A20E22">
        <w:rPr>
          <w:rFonts w:eastAsia="Courier New"/>
          <w:sz w:val="26"/>
          <w:szCs w:val="26"/>
        </w:rPr>
        <w:t>Нефтеюганского</w:t>
      </w:r>
      <w:proofErr w:type="spellEnd"/>
      <w:r w:rsidRPr="00A20E22">
        <w:rPr>
          <w:rFonts w:eastAsia="Courier New"/>
          <w:sz w:val="26"/>
          <w:szCs w:val="26"/>
        </w:rPr>
        <w:t xml:space="preserve"> районов.</w:t>
      </w:r>
    </w:p>
    <w:p w:rsidR="00173D00" w:rsidRPr="00A20E22" w:rsidRDefault="00173D00" w:rsidP="002B7DB8">
      <w:pPr>
        <w:autoSpaceDE w:val="0"/>
        <w:autoSpaceDN w:val="0"/>
        <w:adjustRightInd w:val="0"/>
        <w:ind w:firstLine="709"/>
        <w:jc w:val="both"/>
        <w:rPr>
          <w:rFonts w:eastAsia="Courier New"/>
          <w:sz w:val="26"/>
          <w:szCs w:val="26"/>
        </w:rPr>
      </w:pPr>
      <w:r w:rsidRPr="00A20E22">
        <w:rPr>
          <w:rFonts w:eastAsia="Courier New"/>
          <w:sz w:val="26"/>
          <w:szCs w:val="26"/>
        </w:rPr>
        <w:t xml:space="preserve">На 1 июля 2019 на территории автономного округа реализуются </w:t>
      </w:r>
      <w:r w:rsidRPr="00A20E22">
        <w:rPr>
          <w:sz w:val="26"/>
          <w:szCs w:val="26"/>
          <w:shd w:val="clear" w:color="auto" w:fill="FFFFFF"/>
        </w:rPr>
        <w:t>22</w:t>
      </w:r>
      <w:r w:rsidRPr="00A20E22">
        <w:rPr>
          <w:rFonts w:eastAsia="Courier New"/>
          <w:sz w:val="26"/>
          <w:szCs w:val="26"/>
        </w:rPr>
        <w:t xml:space="preserve"> концессионных соглашения, из них в разрезе систем теплоснабжения – 9, водоснабжения и водоотведения – 10, теплоснабжения, водоснабжение и водоотведение – 2, электроэнергетики – 1. По конкурсу заключено 18 соглашений, 4 – в порядке частной инициативы. Все концессионные соглашения заключены без участия третьей стороны – Ханты-Мансийского автономного округа – Югры. С начала реализации соглашений в коммунальный комплекс инвестировано 1,5 млрд. рублей. </w:t>
      </w:r>
    </w:p>
    <w:p w:rsidR="002B7DB8" w:rsidRPr="00A20E22" w:rsidRDefault="00980FB6" w:rsidP="00173D00">
      <w:pPr>
        <w:pStyle w:val="af8"/>
        <w:ind w:firstLine="709"/>
        <w:contextualSpacing/>
        <w:jc w:val="both"/>
        <w:rPr>
          <w:rFonts w:eastAsia="Courier New"/>
          <w:sz w:val="26"/>
          <w:szCs w:val="26"/>
          <w:lang w:eastAsia="ru-RU"/>
        </w:rPr>
      </w:pPr>
      <w:proofErr w:type="gramStart"/>
      <w:r>
        <w:rPr>
          <w:rFonts w:eastAsia="Courier New"/>
          <w:sz w:val="26"/>
          <w:szCs w:val="26"/>
          <w:lang w:eastAsia="ru-RU"/>
        </w:rPr>
        <w:t>За период</w:t>
      </w:r>
      <w:r w:rsidR="00173D00" w:rsidRPr="00A20E22">
        <w:rPr>
          <w:rFonts w:eastAsia="Courier New"/>
          <w:sz w:val="26"/>
          <w:szCs w:val="26"/>
          <w:lang w:eastAsia="ru-RU"/>
        </w:rPr>
        <w:t xml:space="preserve"> </w:t>
      </w:r>
      <w:r>
        <w:rPr>
          <w:rFonts w:eastAsia="Courier New"/>
          <w:sz w:val="26"/>
          <w:szCs w:val="26"/>
          <w:lang w:eastAsia="ru-RU"/>
        </w:rPr>
        <w:t>январь-июнь</w:t>
      </w:r>
      <w:r w:rsidR="00173D00" w:rsidRPr="00A20E22">
        <w:rPr>
          <w:rFonts w:eastAsia="Courier New"/>
          <w:sz w:val="26"/>
          <w:szCs w:val="26"/>
          <w:lang w:eastAsia="ru-RU"/>
        </w:rPr>
        <w:t xml:space="preserve"> 2019 года расторгнуто 2 соглашения (г.</w:t>
      </w:r>
      <w:r>
        <w:rPr>
          <w:rFonts w:eastAsia="Courier New"/>
          <w:sz w:val="26"/>
          <w:szCs w:val="26"/>
          <w:lang w:eastAsia="ru-RU"/>
        </w:rPr>
        <w:t xml:space="preserve"> </w:t>
      </w:r>
      <w:r w:rsidR="00173D00" w:rsidRPr="00A20E22">
        <w:rPr>
          <w:rFonts w:eastAsia="Courier New"/>
          <w:sz w:val="26"/>
          <w:szCs w:val="26"/>
          <w:lang w:eastAsia="ru-RU"/>
        </w:rPr>
        <w:t xml:space="preserve">Нягань, </w:t>
      </w:r>
      <w:proofErr w:type="spellStart"/>
      <w:r w:rsidR="00173D00" w:rsidRPr="00A20E22">
        <w:rPr>
          <w:rFonts w:eastAsia="Courier New"/>
          <w:sz w:val="26"/>
          <w:szCs w:val="26"/>
          <w:lang w:eastAsia="ru-RU"/>
        </w:rPr>
        <w:t>пгт</w:t>
      </w:r>
      <w:proofErr w:type="spellEnd"/>
      <w:r w:rsidR="00173D00" w:rsidRPr="00A20E22">
        <w:rPr>
          <w:rFonts w:eastAsia="Courier New"/>
          <w:sz w:val="26"/>
          <w:szCs w:val="26"/>
          <w:lang w:eastAsia="ru-RU"/>
        </w:rPr>
        <w:t>.</w:t>
      </w:r>
      <w:proofErr w:type="gramEnd"/>
      <w:r>
        <w:rPr>
          <w:rFonts w:eastAsia="Courier New"/>
          <w:sz w:val="26"/>
          <w:szCs w:val="26"/>
          <w:lang w:eastAsia="ru-RU"/>
        </w:rPr>
        <w:t> </w:t>
      </w:r>
      <w:proofErr w:type="spellStart"/>
      <w:proofErr w:type="gramStart"/>
      <w:r>
        <w:rPr>
          <w:rFonts w:eastAsia="Courier New"/>
          <w:sz w:val="26"/>
          <w:szCs w:val="26"/>
          <w:lang w:eastAsia="ru-RU"/>
        </w:rPr>
        <w:t>Междуречинский</w:t>
      </w:r>
      <w:proofErr w:type="spellEnd"/>
      <w:r>
        <w:rPr>
          <w:rFonts w:eastAsia="Courier New"/>
          <w:sz w:val="26"/>
          <w:szCs w:val="26"/>
          <w:lang w:eastAsia="ru-RU"/>
        </w:rPr>
        <w:t> </w:t>
      </w:r>
      <w:proofErr w:type="spellStart"/>
      <w:r w:rsidR="00173D00" w:rsidRPr="00A20E22">
        <w:rPr>
          <w:rFonts w:eastAsia="Courier New"/>
          <w:sz w:val="26"/>
          <w:szCs w:val="26"/>
          <w:lang w:eastAsia="ru-RU"/>
        </w:rPr>
        <w:t>Кондинского</w:t>
      </w:r>
      <w:proofErr w:type="spellEnd"/>
      <w:r w:rsidR="00173D00" w:rsidRPr="00A20E22">
        <w:rPr>
          <w:rFonts w:eastAsia="Courier New"/>
          <w:sz w:val="26"/>
          <w:szCs w:val="26"/>
          <w:lang w:eastAsia="ru-RU"/>
        </w:rPr>
        <w:t xml:space="preserve"> района (теплоснабжение, водоснабжение, водоотведение)) по причине неисполнения концессионерами взятых на себя обязательств.</w:t>
      </w:r>
      <w:proofErr w:type="gramEnd"/>
    </w:p>
    <w:p w:rsidR="00173D00" w:rsidRPr="00A20E22" w:rsidRDefault="00173D00" w:rsidP="00173D00">
      <w:pPr>
        <w:pStyle w:val="af8"/>
        <w:ind w:firstLine="709"/>
        <w:contextualSpacing/>
        <w:jc w:val="both"/>
        <w:rPr>
          <w:rFonts w:eastAsia="Courier New"/>
          <w:sz w:val="26"/>
          <w:szCs w:val="26"/>
          <w:lang w:eastAsia="ru-RU"/>
        </w:rPr>
      </w:pPr>
      <w:r w:rsidRPr="00A20E22">
        <w:rPr>
          <w:rFonts w:eastAsia="Courier New"/>
          <w:sz w:val="26"/>
          <w:szCs w:val="26"/>
          <w:lang w:eastAsia="ru-RU"/>
        </w:rPr>
        <w:t>Утверждены индексы изменения размера вносимой гражданами платы за коммунальные услуги в среднем по Югре на 2019 год: с 1 января – 1,7</w:t>
      </w:r>
      <w:r w:rsidR="00F65C18">
        <w:rPr>
          <w:rFonts w:eastAsia="Courier New"/>
          <w:sz w:val="26"/>
          <w:szCs w:val="26"/>
          <w:lang w:eastAsia="ru-RU"/>
        </w:rPr>
        <w:t xml:space="preserve"> </w:t>
      </w:r>
      <w:r w:rsidRPr="00A20E22">
        <w:rPr>
          <w:rFonts w:eastAsia="Courier New"/>
          <w:sz w:val="26"/>
          <w:szCs w:val="26"/>
          <w:lang w:eastAsia="ru-RU"/>
        </w:rPr>
        <w:t>% (к декабрю 2018 года); с 1 июля – 2</w:t>
      </w:r>
      <w:r w:rsidR="00F65C18">
        <w:rPr>
          <w:rFonts w:eastAsia="Courier New"/>
          <w:sz w:val="26"/>
          <w:szCs w:val="26"/>
          <w:lang w:eastAsia="ru-RU"/>
        </w:rPr>
        <w:t xml:space="preserve">,0 </w:t>
      </w:r>
      <w:r w:rsidRPr="00A20E22">
        <w:rPr>
          <w:rFonts w:eastAsia="Courier New"/>
          <w:sz w:val="26"/>
          <w:szCs w:val="26"/>
          <w:lang w:eastAsia="ru-RU"/>
        </w:rPr>
        <w:t>% для 89 муниципальных образований, 4</w:t>
      </w:r>
      <w:r w:rsidR="00F65C18">
        <w:rPr>
          <w:rFonts w:eastAsia="Courier New"/>
          <w:sz w:val="26"/>
          <w:szCs w:val="26"/>
          <w:lang w:eastAsia="ru-RU"/>
        </w:rPr>
        <w:t>,0</w:t>
      </w:r>
      <w:r w:rsidRPr="00A20E22">
        <w:rPr>
          <w:rFonts w:eastAsia="Courier New"/>
          <w:sz w:val="26"/>
          <w:szCs w:val="26"/>
          <w:lang w:eastAsia="ru-RU"/>
        </w:rPr>
        <w:t> % для 2 муниципальных образований, свыше 4</w:t>
      </w:r>
      <w:r w:rsidR="00F65C18">
        <w:rPr>
          <w:rFonts w:eastAsia="Courier New"/>
          <w:sz w:val="26"/>
          <w:szCs w:val="26"/>
          <w:lang w:eastAsia="ru-RU"/>
        </w:rPr>
        <w:t>,0</w:t>
      </w:r>
      <w:r w:rsidRPr="00A20E22">
        <w:rPr>
          <w:rFonts w:eastAsia="Courier New"/>
          <w:sz w:val="26"/>
          <w:szCs w:val="26"/>
          <w:lang w:eastAsia="ru-RU"/>
        </w:rPr>
        <w:t> % для 5 муниципальных образований.</w:t>
      </w:r>
    </w:p>
    <w:p w:rsidR="00173D00" w:rsidRPr="00A20E22" w:rsidRDefault="00690932" w:rsidP="00173D00">
      <w:pPr>
        <w:pStyle w:val="af8"/>
        <w:ind w:firstLine="709"/>
        <w:contextualSpacing/>
        <w:jc w:val="both"/>
        <w:rPr>
          <w:rFonts w:eastAsia="Courier New"/>
          <w:sz w:val="26"/>
          <w:szCs w:val="26"/>
          <w:lang w:eastAsia="ru-RU"/>
        </w:rPr>
      </w:pPr>
      <w:r w:rsidRPr="00A20E22">
        <w:rPr>
          <w:rFonts w:eastAsia="Courier New"/>
          <w:sz w:val="26"/>
          <w:szCs w:val="26"/>
          <w:lang w:eastAsia="ru-RU"/>
        </w:rPr>
        <w:t xml:space="preserve">С 1 января 2019 года осуществляется переход на новую систему обращения с твердыми коммунальными отходами (далее – ТКО). Обеспечение деятельности в сфере обращения с ТКО на территории Югры передано региональному оператору – Акционерное общество «Югра-Экология» (далее – АО «Югра-Экология»). </w:t>
      </w:r>
      <w:proofErr w:type="gramStart"/>
      <w:r w:rsidR="00173D00" w:rsidRPr="00A20E22">
        <w:rPr>
          <w:rFonts w:eastAsia="Courier New"/>
          <w:sz w:val="26"/>
          <w:szCs w:val="26"/>
          <w:lang w:eastAsia="ru-RU"/>
        </w:rPr>
        <w:t>Единые тарифы на услуги регионального оператора по обращению с ТКО на 2019 год установлены РСТ Югры для АО «Югра-Экология»: с 1 января для потребителей услуг Южной зоны в размере 718,3</w:t>
      </w:r>
      <w:r w:rsidR="00E31978">
        <w:rPr>
          <w:rFonts w:eastAsia="Courier New"/>
          <w:sz w:val="26"/>
          <w:szCs w:val="26"/>
          <w:lang w:eastAsia="ru-RU"/>
        </w:rPr>
        <w:t>3</w:t>
      </w:r>
      <w:r w:rsidR="00173D00" w:rsidRPr="00A20E22">
        <w:rPr>
          <w:rFonts w:eastAsia="Courier New"/>
          <w:sz w:val="26"/>
          <w:szCs w:val="26"/>
          <w:lang w:eastAsia="ru-RU"/>
        </w:rPr>
        <w:t xml:space="preserve"> руб. м. куб. с учетом НДС; с 1 июля для потребителей услуг Северной зоны в размере 697,51 руб.</w:t>
      </w:r>
      <w:r w:rsidR="00752EE9" w:rsidRPr="00A20E22">
        <w:rPr>
          <w:rFonts w:eastAsia="Courier New"/>
          <w:sz w:val="26"/>
          <w:szCs w:val="26"/>
          <w:lang w:eastAsia="ru-RU"/>
        </w:rPr>
        <w:t xml:space="preserve"> </w:t>
      </w:r>
      <w:r w:rsidR="00173D00" w:rsidRPr="00A20E22">
        <w:rPr>
          <w:rFonts w:eastAsia="Courier New"/>
          <w:sz w:val="26"/>
          <w:szCs w:val="26"/>
          <w:lang w:eastAsia="ru-RU"/>
        </w:rPr>
        <w:t>м. куб. с учетом НДС.</w:t>
      </w:r>
      <w:proofErr w:type="gramEnd"/>
    </w:p>
    <w:p w:rsidR="00B317E2" w:rsidRPr="00580D51" w:rsidRDefault="00B317E2" w:rsidP="00580D51">
      <w:pPr>
        <w:pStyle w:val="af8"/>
        <w:ind w:firstLine="709"/>
        <w:contextualSpacing/>
        <w:jc w:val="both"/>
        <w:rPr>
          <w:rFonts w:eastAsia="Courier New"/>
          <w:sz w:val="26"/>
          <w:szCs w:val="26"/>
          <w:lang w:eastAsia="ru-RU"/>
        </w:rPr>
      </w:pPr>
      <w:r w:rsidRPr="00580D51">
        <w:rPr>
          <w:rFonts w:eastAsia="Courier New"/>
          <w:sz w:val="26"/>
          <w:szCs w:val="26"/>
          <w:lang w:eastAsia="ru-RU"/>
        </w:rPr>
        <w:t xml:space="preserve">Фактически сложившаяся максимальная доля собственных расходов жителей Югры на оплату жилья и коммунальных услуг в совокупном семейном доходе составила на 1 июля 2019 года </w:t>
      </w:r>
      <w:r w:rsidR="00580D51" w:rsidRPr="00580D51">
        <w:rPr>
          <w:rFonts w:eastAsia="Courier New"/>
          <w:sz w:val="26"/>
          <w:szCs w:val="26"/>
          <w:lang w:eastAsia="ru-RU"/>
        </w:rPr>
        <w:t>6,56</w:t>
      </w:r>
      <w:r w:rsidRPr="00580D51">
        <w:rPr>
          <w:rFonts w:eastAsia="Courier New"/>
          <w:sz w:val="26"/>
          <w:szCs w:val="26"/>
          <w:lang w:eastAsia="ru-RU"/>
        </w:rPr>
        <w:t xml:space="preserve"> %. </w:t>
      </w:r>
    </w:p>
    <w:p w:rsidR="00B317E2" w:rsidRPr="00A20E22" w:rsidRDefault="001411BB" w:rsidP="00B317E2">
      <w:pPr>
        <w:pStyle w:val="af8"/>
        <w:ind w:firstLine="709"/>
        <w:contextualSpacing/>
        <w:jc w:val="both"/>
        <w:rPr>
          <w:rFonts w:eastAsia="Courier New"/>
          <w:sz w:val="26"/>
          <w:szCs w:val="26"/>
          <w:lang w:eastAsia="ru-RU"/>
        </w:rPr>
      </w:pPr>
      <w:r w:rsidRPr="00A20E22">
        <w:rPr>
          <w:rFonts w:eastAsia="Courier New"/>
          <w:sz w:val="26"/>
          <w:szCs w:val="26"/>
          <w:lang w:eastAsia="ru-RU"/>
        </w:rPr>
        <w:lastRenderedPageBreak/>
        <w:t xml:space="preserve">В целях оказания поддержки предоставлена субсидия на оплату жилого помещения и коммунальных услуг 25,2 тыс. семьям (численность лиц, проживающих в семьях получателей субсидий – 58,1 тыс. человек). </w:t>
      </w:r>
    </w:p>
    <w:p w:rsidR="00551D68" w:rsidRPr="00A20E22" w:rsidRDefault="00551D68" w:rsidP="00827FF7">
      <w:pPr>
        <w:widowControl w:val="0"/>
        <w:jc w:val="both"/>
        <w:rPr>
          <w:sz w:val="26"/>
          <w:szCs w:val="26"/>
        </w:rPr>
      </w:pPr>
    </w:p>
    <w:p w:rsidR="00827FF7" w:rsidRDefault="00827FF7" w:rsidP="00827FF7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eastAsiaTheme="majorEastAsia" w:hAnsi="Times New Roman"/>
          <w:b w:val="0"/>
          <w:sz w:val="26"/>
          <w:szCs w:val="26"/>
          <w:lang w:val="ru-RU"/>
        </w:rPr>
      </w:pPr>
      <w:bookmarkStart w:id="10" w:name="_Toc10912545"/>
      <w:r w:rsidRPr="00A20E22">
        <w:rPr>
          <w:rFonts w:ascii="Times New Roman" w:eastAsiaTheme="majorEastAsia" w:hAnsi="Times New Roman"/>
          <w:b w:val="0"/>
          <w:sz w:val="26"/>
          <w:szCs w:val="26"/>
        </w:rPr>
        <w:t>Малое предпринимательство</w:t>
      </w:r>
      <w:bookmarkEnd w:id="10"/>
    </w:p>
    <w:p w:rsidR="00373A7A" w:rsidRDefault="00373A7A" w:rsidP="00373A7A">
      <w:pPr>
        <w:rPr>
          <w:rFonts w:eastAsiaTheme="majorEastAsia"/>
          <w:lang w:eastAsia="x-none"/>
        </w:rPr>
      </w:pPr>
    </w:p>
    <w:p w:rsidR="00483111" w:rsidRPr="00980FB6" w:rsidRDefault="00483111" w:rsidP="00980FB6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80FB6">
        <w:rPr>
          <w:sz w:val="26"/>
          <w:szCs w:val="26"/>
        </w:rPr>
        <w:t>В автономном округе на 10 июля 2019 года (по сведениям из Единого реестра Федеральной налоговой службы Российской Федерации) количество субъектов малого и среднего предпринимательства составило 63016 ед., в том числе:</w:t>
      </w:r>
    </w:p>
    <w:p w:rsidR="00483111" w:rsidRPr="00980FB6" w:rsidRDefault="00E31978" w:rsidP="00980FB6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22</w:t>
      </w:r>
      <w:r w:rsidR="00483111" w:rsidRPr="00980FB6">
        <w:rPr>
          <w:sz w:val="26"/>
          <w:szCs w:val="26"/>
        </w:rPr>
        <w:t>094 ед. юрид</w:t>
      </w:r>
      <w:r>
        <w:rPr>
          <w:sz w:val="26"/>
          <w:szCs w:val="26"/>
        </w:rPr>
        <w:t>ических лиц</w:t>
      </w:r>
      <w:r w:rsidR="00483111" w:rsidRPr="00980FB6">
        <w:rPr>
          <w:sz w:val="26"/>
          <w:szCs w:val="26"/>
        </w:rPr>
        <w:t>;</w:t>
      </w:r>
    </w:p>
    <w:p w:rsidR="00483111" w:rsidRPr="00980FB6" w:rsidRDefault="00E31978" w:rsidP="00980FB6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40</w:t>
      </w:r>
      <w:r w:rsidR="00483111" w:rsidRPr="00980FB6">
        <w:rPr>
          <w:sz w:val="26"/>
          <w:szCs w:val="26"/>
        </w:rPr>
        <w:t>922 индивидуальных предп</w:t>
      </w:r>
      <w:r>
        <w:rPr>
          <w:sz w:val="26"/>
          <w:szCs w:val="26"/>
        </w:rPr>
        <w:t>ринимателей</w:t>
      </w:r>
      <w:r w:rsidR="00483111" w:rsidRPr="00980FB6">
        <w:rPr>
          <w:sz w:val="26"/>
          <w:szCs w:val="26"/>
        </w:rPr>
        <w:t>.</w:t>
      </w:r>
    </w:p>
    <w:p w:rsidR="00483111" w:rsidRPr="00980FB6" w:rsidRDefault="00483111" w:rsidP="00980FB6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80FB6">
        <w:rPr>
          <w:sz w:val="26"/>
          <w:szCs w:val="26"/>
        </w:rPr>
        <w:t>Численность занятых в сфере малого и среднего предпринимательства, включая индивидуальных предпринимателей, составила 200,8 тыс. человек, в том числе:</w:t>
      </w:r>
    </w:p>
    <w:p w:rsidR="00483111" w:rsidRPr="00980FB6" w:rsidRDefault="00483111" w:rsidP="00980FB6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80FB6">
        <w:rPr>
          <w:sz w:val="26"/>
          <w:szCs w:val="26"/>
        </w:rPr>
        <w:t>135,0 тыс. человек у юридических лиц;</w:t>
      </w:r>
    </w:p>
    <w:p w:rsidR="00483111" w:rsidRPr="00980FB6" w:rsidRDefault="00483111" w:rsidP="00980FB6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80FB6">
        <w:rPr>
          <w:sz w:val="26"/>
          <w:szCs w:val="26"/>
        </w:rPr>
        <w:t>22,3 тыс. человека у индивидуальных предпринимателей;</w:t>
      </w:r>
    </w:p>
    <w:p w:rsidR="00483111" w:rsidRPr="00980FB6" w:rsidRDefault="00483111" w:rsidP="00980FB6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80FB6">
        <w:rPr>
          <w:sz w:val="26"/>
          <w:szCs w:val="26"/>
        </w:rPr>
        <w:t>40,9 тыс. человек – индивидуальных предпринимателей;</w:t>
      </w:r>
    </w:p>
    <w:p w:rsidR="00483111" w:rsidRPr="00980FB6" w:rsidRDefault="00483111" w:rsidP="00980FB6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80FB6">
        <w:rPr>
          <w:sz w:val="26"/>
          <w:szCs w:val="26"/>
        </w:rPr>
        <w:t>2,6 т</w:t>
      </w:r>
      <w:r w:rsidR="00980FB6" w:rsidRPr="00980FB6">
        <w:rPr>
          <w:sz w:val="26"/>
          <w:szCs w:val="26"/>
        </w:rPr>
        <w:t>ы</w:t>
      </w:r>
      <w:r w:rsidRPr="00980FB6">
        <w:rPr>
          <w:sz w:val="26"/>
          <w:szCs w:val="26"/>
        </w:rPr>
        <w:t>с. человек у вновь созданных юридических лиц.</w:t>
      </w:r>
    </w:p>
    <w:p w:rsidR="00C84096" w:rsidRPr="00980FB6" w:rsidRDefault="00C84096" w:rsidP="00980FB6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980FB6">
        <w:rPr>
          <w:sz w:val="26"/>
          <w:szCs w:val="26"/>
        </w:rPr>
        <w:t>В целях создания условий, направленных на развитие малого и среднего бизнеса реализуется Закон автономного</w:t>
      </w:r>
      <w:r w:rsidRPr="00A20E22">
        <w:rPr>
          <w:sz w:val="26"/>
          <w:szCs w:val="26"/>
        </w:rPr>
        <w:t xml:space="preserve"> округа от 29 декабря 2007 года № 213-оз «О развитии малого и среднего предпринимательства в Ханты-Мансийском автономном округе – Югре», подпрограмма «Развитие малого и среднего предпринимательства» государственной программы автономного округа «Развитие экономического потенциала» (далее – Подпрограмма), одной из целей которой </w:t>
      </w:r>
      <w:r w:rsidRPr="00980FB6">
        <w:rPr>
          <w:sz w:val="26"/>
          <w:szCs w:val="26"/>
        </w:rPr>
        <w:t>является повышение роли малого и среднего предпринимательства в экономике</w:t>
      </w:r>
      <w:proofErr w:type="gramEnd"/>
      <w:r w:rsidRPr="00980FB6">
        <w:rPr>
          <w:sz w:val="26"/>
          <w:szCs w:val="26"/>
        </w:rPr>
        <w:t xml:space="preserve"> автономного округа. </w:t>
      </w:r>
    </w:p>
    <w:p w:rsidR="00C84096" w:rsidRPr="00980FB6" w:rsidRDefault="00C84096" w:rsidP="00980FB6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80FB6">
        <w:rPr>
          <w:sz w:val="26"/>
          <w:szCs w:val="26"/>
        </w:rPr>
        <w:t xml:space="preserve">В соответствии с мероприятиями Подпрограммы: </w:t>
      </w:r>
    </w:p>
    <w:p w:rsidR="00483111" w:rsidRPr="00980FB6" w:rsidRDefault="00483111" w:rsidP="00980FB6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80FB6">
        <w:rPr>
          <w:sz w:val="26"/>
          <w:szCs w:val="26"/>
        </w:rPr>
        <w:t xml:space="preserve">обеспечено исполнение обязательств субъектов малого и среднего предпринимательства (деятельность гарантийного фонда) перед кредитными учреждениями по </w:t>
      </w:r>
      <w:r w:rsidR="007D75F2">
        <w:rPr>
          <w:sz w:val="26"/>
          <w:szCs w:val="26"/>
        </w:rPr>
        <w:t>60 предпринимательским проектам</w:t>
      </w:r>
      <w:r w:rsidRPr="00980FB6">
        <w:rPr>
          <w:sz w:val="26"/>
          <w:szCs w:val="26"/>
        </w:rPr>
        <w:t>;</w:t>
      </w:r>
    </w:p>
    <w:p w:rsidR="00483111" w:rsidRPr="00980FB6" w:rsidRDefault="00483111" w:rsidP="00980FB6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80FB6">
        <w:rPr>
          <w:sz w:val="26"/>
          <w:szCs w:val="26"/>
        </w:rPr>
        <w:t xml:space="preserve">предоставлено 142 </w:t>
      </w:r>
      <w:proofErr w:type="spellStart"/>
      <w:r w:rsidRPr="00980FB6">
        <w:rPr>
          <w:sz w:val="26"/>
          <w:szCs w:val="26"/>
        </w:rPr>
        <w:t>микрозайма</w:t>
      </w:r>
      <w:proofErr w:type="spellEnd"/>
      <w:r w:rsidRPr="00980FB6">
        <w:rPr>
          <w:sz w:val="26"/>
          <w:szCs w:val="26"/>
        </w:rPr>
        <w:t>;</w:t>
      </w:r>
    </w:p>
    <w:p w:rsidR="00483111" w:rsidRPr="00980FB6" w:rsidRDefault="00483111" w:rsidP="00980FB6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80FB6">
        <w:rPr>
          <w:sz w:val="26"/>
          <w:szCs w:val="26"/>
        </w:rPr>
        <w:t>компенсация банковской процентной ставки и лизинговых платежей предоставлена 7 субъектам малого и среднего предпринимательства;</w:t>
      </w:r>
    </w:p>
    <w:p w:rsidR="00C84096" w:rsidRPr="00980FB6" w:rsidRDefault="00C84096" w:rsidP="00980FB6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80FB6">
        <w:rPr>
          <w:sz w:val="26"/>
          <w:szCs w:val="26"/>
        </w:rPr>
        <w:t xml:space="preserve">информационно-консультационная поддержка оказана </w:t>
      </w:r>
      <w:r w:rsidR="000D79C1" w:rsidRPr="00980FB6">
        <w:rPr>
          <w:sz w:val="26"/>
          <w:szCs w:val="26"/>
        </w:rPr>
        <w:t xml:space="preserve">7 638 </w:t>
      </w:r>
      <w:r w:rsidRPr="00980FB6">
        <w:rPr>
          <w:sz w:val="26"/>
          <w:szCs w:val="26"/>
        </w:rPr>
        <w:t>субъектам малого и среднего предпринимательства.</w:t>
      </w:r>
    </w:p>
    <w:p w:rsidR="00C84096" w:rsidRPr="00980FB6" w:rsidRDefault="00C84096" w:rsidP="00980FB6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980FB6">
        <w:rPr>
          <w:sz w:val="26"/>
          <w:szCs w:val="26"/>
        </w:rPr>
        <w:t xml:space="preserve">Субъектами, получившими государственную поддержку </w:t>
      </w:r>
      <w:r w:rsidR="000D79C1" w:rsidRPr="00980FB6">
        <w:rPr>
          <w:sz w:val="26"/>
          <w:szCs w:val="26"/>
        </w:rPr>
        <w:t>создано</w:t>
      </w:r>
      <w:proofErr w:type="gramEnd"/>
      <w:r w:rsidR="000D79C1" w:rsidRPr="00980FB6">
        <w:rPr>
          <w:sz w:val="26"/>
          <w:szCs w:val="26"/>
        </w:rPr>
        <w:t xml:space="preserve"> 930 новых рабочих мест, 165 новых малых предприятий</w:t>
      </w:r>
      <w:r w:rsidRPr="00980FB6">
        <w:rPr>
          <w:sz w:val="26"/>
          <w:szCs w:val="26"/>
        </w:rPr>
        <w:t>.</w:t>
      </w:r>
    </w:p>
    <w:p w:rsidR="00C84096" w:rsidRPr="00A20E22" w:rsidRDefault="00C84096" w:rsidP="00980FB6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80FB6">
        <w:rPr>
          <w:sz w:val="26"/>
          <w:szCs w:val="26"/>
        </w:rPr>
        <w:t>Функционирует развитая инфраструктура поддержки малого и среднего предпринимательства, представленная филиалами и представительствами Фонда поддержки предпринимательства Югры, Торгово-промышленной палаты, А</w:t>
      </w:r>
      <w:r w:rsidR="00980FB6" w:rsidRPr="00980FB6">
        <w:rPr>
          <w:sz w:val="26"/>
          <w:szCs w:val="26"/>
        </w:rPr>
        <w:t>втономного учреждения</w:t>
      </w:r>
      <w:r w:rsidRPr="00980FB6">
        <w:rPr>
          <w:sz w:val="26"/>
          <w:szCs w:val="26"/>
        </w:rPr>
        <w:t xml:space="preserve"> Ханты-Мансийского автономного округа – Югры «Технопарк высоких технологий», Фонд</w:t>
      </w:r>
      <w:r w:rsidR="0051561A" w:rsidRPr="00980FB6">
        <w:rPr>
          <w:sz w:val="26"/>
          <w:szCs w:val="26"/>
        </w:rPr>
        <w:t xml:space="preserve">ом </w:t>
      </w:r>
      <w:r w:rsidRPr="00980FB6">
        <w:rPr>
          <w:sz w:val="26"/>
          <w:szCs w:val="26"/>
        </w:rPr>
        <w:t xml:space="preserve">«Югорская региональная </w:t>
      </w:r>
      <w:proofErr w:type="spellStart"/>
      <w:r w:rsidRPr="00980FB6">
        <w:rPr>
          <w:sz w:val="26"/>
          <w:szCs w:val="26"/>
        </w:rPr>
        <w:t>микрокредитная</w:t>
      </w:r>
      <w:proofErr w:type="spellEnd"/>
      <w:r w:rsidRPr="00980FB6">
        <w:rPr>
          <w:sz w:val="26"/>
          <w:szCs w:val="26"/>
        </w:rPr>
        <w:t xml:space="preserve"> компания», Фонд</w:t>
      </w:r>
      <w:r w:rsidR="0051561A" w:rsidRPr="00980FB6">
        <w:rPr>
          <w:sz w:val="26"/>
          <w:szCs w:val="26"/>
        </w:rPr>
        <w:t>ом</w:t>
      </w:r>
      <w:r w:rsidRPr="00980FB6">
        <w:rPr>
          <w:sz w:val="26"/>
          <w:szCs w:val="26"/>
        </w:rPr>
        <w:t xml:space="preserve"> развития Ханты-Мансийского автономного округа – Югры. Кроме того, на базе Фонда поддержки предпринимательства Югры действуют Гарантийный фонд и Центр и</w:t>
      </w:r>
      <w:r w:rsidRPr="00A20E22">
        <w:rPr>
          <w:sz w:val="26"/>
          <w:szCs w:val="26"/>
        </w:rPr>
        <w:t xml:space="preserve">нноваций социальной сферы Югры. Организациями инфраструктуры поддержки предпринимательства охвачена вся территория Югры. Все организации инфраструктуры работают по принципу </w:t>
      </w:r>
      <w:r w:rsidRPr="00A20E22">
        <w:rPr>
          <w:sz w:val="26"/>
          <w:szCs w:val="26"/>
        </w:rPr>
        <w:lastRenderedPageBreak/>
        <w:t>«одного окна» не только между собой, но и между кредитными организациями и многофункциональными центрами.</w:t>
      </w:r>
    </w:p>
    <w:p w:rsidR="00C84096" w:rsidRPr="00980FB6" w:rsidRDefault="00C84096" w:rsidP="00C84096">
      <w:pPr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 xml:space="preserve">В целях обеспечения гарантий государственной защиты прав и законных интересов субъектов предпринимательской деятельности в Югре действует Институт Уполномоченного по защите прав предпринимателей автономного </w:t>
      </w:r>
      <w:r w:rsidRPr="00980FB6">
        <w:rPr>
          <w:sz w:val="26"/>
          <w:szCs w:val="26"/>
        </w:rPr>
        <w:t>округа.</w:t>
      </w:r>
    </w:p>
    <w:p w:rsidR="000D79C1" w:rsidRPr="00980FB6" w:rsidRDefault="00C84096" w:rsidP="000D79C1">
      <w:pPr>
        <w:ind w:firstLine="709"/>
        <w:jc w:val="both"/>
        <w:rPr>
          <w:sz w:val="26"/>
          <w:szCs w:val="26"/>
        </w:rPr>
      </w:pPr>
      <w:r w:rsidRPr="00980FB6">
        <w:rPr>
          <w:sz w:val="26"/>
          <w:szCs w:val="26"/>
        </w:rPr>
        <w:t xml:space="preserve">Для развития экспортной деятельности субъектов малого и среднего предпринимательства автономного округа при содействии Фонда «Центр поддержки экспорта Югры» заключено </w:t>
      </w:r>
      <w:r w:rsidR="000D79C1" w:rsidRPr="00980FB6">
        <w:rPr>
          <w:sz w:val="26"/>
          <w:szCs w:val="26"/>
        </w:rPr>
        <w:t>6</w:t>
      </w:r>
      <w:r w:rsidRPr="00980FB6">
        <w:rPr>
          <w:sz w:val="26"/>
          <w:szCs w:val="26"/>
        </w:rPr>
        <w:t xml:space="preserve"> экспортных контракта тремя субъектами малого и среднего предпринимательства.</w:t>
      </w:r>
      <w:r w:rsidR="000D79C1" w:rsidRPr="00980FB6">
        <w:rPr>
          <w:sz w:val="26"/>
          <w:szCs w:val="26"/>
        </w:rPr>
        <w:t xml:space="preserve"> Объем под</w:t>
      </w:r>
      <w:r w:rsidR="00980FB6" w:rsidRPr="00980FB6">
        <w:rPr>
          <w:sz w:val="26"/>
          <w:szCs w:val="26"/>
        </w:rPr>
        <w:t>держанного экспорта составил 105</w:t>
      </w:r>
      <w:r w:rsidR="000D79C1" w:rsidRPr="00980FB6">
        <w:rPr>
          <w:sz w:val="26"/>
          <w:szCs w:val="26"/>
        </w:rPr>
        <w:t>,</w:t>
      </w:r>
      <w:r w:rsidR="00980FB6" w:rsidRPr="00980FB6">
        <w:rPr>
          <w:sz w:val="26"/>
          <w:szCs w:val="26"/>
        </w:rPr>
        <w:t>0</w:t>
      </w:r>
      <w:r w:rsidR="000D79C1" w:rsidRPr="00980FB6">
        <w:rPr>
          <w:sz w:val="26"/>
          <w:szCs w:val="26"/>
        </w:rPr>
        <w:t xml:space="preserve"> млн. рублей. </w:t>
      </w:r>
    </w:p>
    <w:p w:rsidR="00C84096" w:rsidRPr="006B2FFE" w:rsidRDefault="00C84096" w:rsidP="000D79C1">
      <w:pPr>
        <w:ind w:firstLine="709"/>
        <w:jc w:val="both"/>
        <w:rPr>
          <w:rFonts w:eastAsia="Courier New"/>
          <w:sz w:val="26"/>
          <w:szCs w:val="26"/>
        </w:rPr>
      </w:pPr>
      <w:r w:rsidRPr="00980FB6">
        <w:rPr>
          <w:sz w:val="26"/>
          <w:szCs w:val="26"/>
        </w:rPr>
        <w:t>Функционирует Портал малого и среднего предпринимательства Югры (</w:t>
      </w:r>
      <w:proofErr w:type="spellStart"/>
      <w:r w:rsidRPr="00980FB6">
        <w:rPr>
          <w:sz w:val="26"/>
          <w:szCs w:val="26"/>
        </w:rPr>
        <w:t>бизнесюгры</w:t>
      </w:r>
      <w:proofErr w:type="gramStart"/>
      <w:r w:rsidRPr="00980FB6">
        <w:rPr>
          <w:sz w:val="26"/>
          <w:szCs w:val="26"/>
        </w:rPr>
        <w:t>.р</w:t>
      </w:r>
      <w:proofErr w:type="gramEnd"/>
      <w:r w:rsidRPr="00980FB6">
        <w:rPr>
          <w:sz w:val="26"/>
          <w:szCs w:val="26"/>
        </w:rPr>
        <w:t>ф</w:t>
      </w:r>
      <w:proofErr w:type="spellEnd"/>
      <w:r w:rsidRPr="00980FB6">
        <w:rPr>
          <w:sz w:val="26"/>
          <w:szCs w:val="26"/>
        </w:rPr>
        <w:t>) посредств</w:t>
      </w:r>
      <w:r w:rsidR="00980FB6" w:rsidRPr="00980FB6">
        <w:rPr>
          <w:sz w:val="26"/>
          <w:szCs w:val="26"/>
        </w:rPr>
        <w:t>о</w:t>
      </w:r>
      <w:r w:rsidRPr="00980FB6">
        <w:rPr>
          <w:sz w:val="26"/>
          <w:szCs w:val="26"/>
        </w:rPr>
        <w:t>м которого</w:t>
      </w:r>
      <w:r w:rsidRPr="00980FB6">
        <w:rPr>
          <w:rFonts w:eastAsia="Courier New"/>
          <w:sz w:val="26"/>
          <w:szCs w:val="26"/>
        </w:rPr>
        <w:t xml:space="preserve"> осуществляется информирование населения автономного округа и предпринимательского сообщества о формах и видах государственной поддержки</w:t>
      </w:r>
      <w:r w:rsidRPr="00A20E22">
        <w:rPr>
          <w:rFonts w:eastAsia="Courier New"/>
          <w:sz w:val="26"/>
          <w:szCs w:val="26"/>
        </w:rPr>
        <w:t xml:space="preserve"> в сфере развития малого и среднего предпринимательства, об организациях инфраструктуры поддержки предпринимательства в автономном округе, о нормативной правовой базе и иной информации, направленной на развитие предпринимательской деятельности в автономном округе</w:t>
      </w:r>
      <w:r w:rsidRPr="00A20E22">
        <w:rPr>
          <w:rFonts w:eastAsia="Calibri"/>
          <w:sz w:val="26"/>
          <w:szCs w:val="26"/>
        </w:rPr>
        <w:t xml:space="preserve"> по принципу «</w:t>
      </w:r>
      <w:r w:rsidRPr="006B2FFE">
        <w:rPr>
          <w:rFonts w:eastAsia="Calibri"/>
          <w:sz w:val="26"/>
          <w:szCs w:val="26"/>
        </w:rPr>
        <w:t>одного окна».</w:t>
      </w:r>
    </w:p>
    <w:p w:rsidR="00C84096" w:rsidRPr="006B2FFE" w:rsidRDefault="00C84096" w:rsidP="00C84096">
      <w:pPr>
        <w:ind w:firstLine="708"/>
        <w:jc w:val="both"/>
        <w:rPr>
          <w:rFonts w:eastAsia="Calibri"/>
          <w:sz w:val="26"/>
          <w:szCs w:val="26"/>
        </w:rPr>
      </w:pPr>
      <w:r w:rsidRPr="006B2FFE">
        <w:rPr>
          <w:rFonts w:eastAsia="Calibri"/>
          <w:sz w:val="26"/>
          <w:szCs w:val="26"/>
        </w:rPr>
        <w:t xml:space="preserve">Единый Портал позволяет аккумулировать действующие в автономном округе информационные ресурсы в сфере развития предпринимательства на одном сайте и расширить возможности предоставления субъектам информацию о товарах, работах, услугах и установить новые </w:t>
      </w:r>
      <w:proofErr w:type="gramStart"/>
      <w:r w:rsidRPr="006B2FFE">
        <w:rPr>
          <w:rFonts w:eastAsia="Calibri"/>
          <w:sz w:val="26"/>
          <w:szCs w:val="26"/>
        </w:rPr>
        <w:t>бизнес-контакты</w:t>
      </w:r>
      <w:proofErr w:type="gramEnd"/>
      <w:r w:rsidRPr="006B2FFE">
        <w:rPr>
          <w:rFonts w:eastAsia="Calibri"/>
          <w:sz w:val="26"/>
          <w:szCs w:val="26"/>
        </w:rPr>
        <w:t xml:space="preserve">. На Портале функционирует постоянно действующая виртуальная выставка предпринимателей в разделе «Истории успеха» (около 400 историй). </w:t>
      </w:r>
    </w:p>
    <w:p w:rsidR="00C84096" w:rsidRPr="00A20E22" w:rsidRDefault="00C84096" w:rsidP="00C84096">
      <w:pPr>
        <w:widowControl w:val="0"/>
        <w:jc w:val="center"/>
        <w:rPr>
          <w:sz w:val="26"/>
          <w:szCs w:val="26"/>
        </w:rPr>
      </w:pPr>
    </w:p>
    <w:p w:rsidR="005D43EA" w:rsidRPr="00A20E22" w:rsidRDefault="005D43EA" w:rsidP="001B58EA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eastAsiaTheme="majorEastAsia" w:hAnsi="Times New Roman"/>
          <w:b w:val="0"/>
          <w:sz w:val="26"/>
          <w:szCs w:val="26"/>
        </w:rPr>
      </w:pPr>
      <w:bookmarkStart w:id="11" w:name="_Toc10912546"/>
      <w:r w:rsidRPr="00A20E22">
        <w:rPr>
          <w:rFonts w:ascii="Times New Roman" w:eastAsiaTheme="majorEastAsia" w:hAnsi="Times New Roman"/>
          <w:b w:val="0"/>
          <w:sz w:val="26"/>
          <w:szCs w:val="26"/>
        </w:rPr>
        <w:t>Инвестиции</w:t>
      </w:r>
      <w:bookmarkEnd w:id="11"/>
    </w:p>
    <w:p w:rsidR="005D43EA" w:rsidRPr="00A20E22" w:rsidRDefault="005D43EA" w:rsidP="005D43EA">
      <w:pPr>
        <w:widowControl w:val="0"/>
        <w:ind w:firstLine="709"/>
        <w:jc w:val="center"/>
        <w:rPr>
          <w:b/>
          <w:sz w:val="26"/>
          <w:szCs w:val="26"/>
        </w:rPr>
      </w:pPr>
    </w:p>
    <w:p w:rsidR="00CF3DCB" w:rsidRPr="00CF3DCB" w:rsidRDefault="00CF3DCB" w:rsidP="00CF3DCB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F3DCB">
        <w:rPr>
          <w:sz w:val="26"/>
          <w:szCs w:val="26"/>
        </w:rPr>
        <w:t>Объем инвестиций в основной капитал по полному кругу предприятий за счет всех источников финансирования за январь-июнь 2019 года – 436,5 млрд. рублей или 92,3 % к соответствующему периоду 2018 года</w:t>
      </w:r>
      <w:r w:rsidRPr="00CF3DCB">
        <w:rPr>
          <w:rStyle w:val="a8"/>
          <w:sz w:val="26"/>
          <w:szCs w:val="26"/>
        </w:rPr>
        <w:footnoteReference w:id="20"/>
      </w:r>
      <w:r w:rsidRPr="00CF3DCB">
        <w:rPr>
          <w:sz w:val="26"/>
          <w:szCs w:val="26"/>
        </w:rPr>
        <w:t xml:space="preserve">. </w:t>
      </w:r>
    </w:p>
    <w:p w:rsidR="00CF3DCB" w:rsidRPr="00CF3DCB" w:rsidRDefault="00CF3DCB" w:rsidP="00CF3DCB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F3DCB">
        <w:rPr>
          <w:sz w:val="26"/>
          <w:szCs w:val="26"/>
        </w:rPr>
        <w:t xml:space="preserve">Структура источников финансирования представлена собственными средствами предприятий – 87,9 % удельного веса, привлеченными средствами –            12,1 %. Доля бюджетных средств в общем объеме инвестиций – 1,5 %. </w:t>
      </w:r>
    </w:p>
    <w:p w:rsidR="00CF3DCB" w:rsidRPr="00CF3DCB" w:rsidRDefault="00CF3DCB" w:rsidP="00CF3DCB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F3DCB">
        <w:rPr>
          <w:sz w:val="26"/>
          <w:szCs w:val="26"/>
        </w:rPr>
        <w:t>В структуре инвестиций в основной капитал по «чистым» видам экономической деятельности значительную долю занимают: добыча полезных ископаемых – 88,0 %, транспортировка и хранение – 2,7 %, обеспечение электрической энергией, газом и паром – 1,4 %, строительство – 1,2 %, другие виды деятельности – 6,7 %.</w:t>
      </w:r>
    </w:p>
    <w:p w:rsidR="009F0C75" w:rsidRPr="00CF3DCB" w:rsidRDefault="009F0C75" w:rsidP="00BA596B">
      <w:pPr>
        <w:ind w:firstLine="709"/>
        <w:jc w:val="both"/>
        <w:rPr>
          <w:sz w:val="26"/>
          <w:szCs w:val="26"/>
        </w:rPr>
      </w:pPr>
      <w:r w:rsidRPr="00CF3DCB">
        <w:rPr>
          <w:sz w:val="26"/>
          <w:szCs w:val="26"/>
        </w:rPr>
        <w:t xml:space="preserve">На базе портала investugra.ru </w:t>
      </w:r>
      <w:proofErr w:type="gramStart"/>
      <w:r w:rsidRPr="00CF3DCB">
        <w:rPr>
          <w:sz w:val="26"/>
          <w:szCs w:val="26"/>
        </w:rPr>
        <w:t>сформирована и по мере необходимости актуализируется</w:t>
      </w:r>
      <w:proofErr w:type="gramEnd"/>
      <w:r w:rsidRPr="00CF3DCB">
        <w:rPr>
          <w:sz w:val="26"/>
          <w:szCs w:val="26"/>
        </w:rPr>
        <w:t xml:space="preserve"> карта инвестиционных и промышленных площадок Югры с полным перечнем информации об их площади, инфраструктурной обеспеченности.</w:t>
      </w:r>
    </w:p>
    <w:p w:rsidR="009F0C75" w:rsidRPr="00A20E22" w:rsidRDefault="009F0C75" w:rsidP="00BA596B">
      <w:pPr>
        <w:widowControl w:val="0"/>
        <w:ind w:firstLine="709"/>
        <w:jc w:val="both"/>
        <w:rPr>
          <w:sz w:val="26"/>
          <w:szCs w:val="26"/>
        </w:rPr>
      </w:pPr>
      <w:r w:rsidRPr="00CF3DCB">
        <w:rPr>
          <w:sz w:val="26"/>
          <w:szCs w:val="26"/>
        </w:rPr>
        <w:t xml:space="preserve">В автономном округе внедрены все положения </w:t>
      </w:r>
      <w:proofErr w:type="gramStart"/>
      <w:r w:rsidRPr="00CF3DCB">
        <w:rPr>
          <w:sz w:val="26"/>
          <w:szCs w:val="26"/>
        </w:rPr>
        <w:t>Стандарта</w:t>
      </w:r>
      <w:r w:rsidRPr="00A20E22">
        <w:rPr>
          <w:sz w:val="26"/>
          <w:szCs w:val="26"/>
        </w:rPr>
        <w:t xml:space="preserve"> деятельности органов исполнительной власти субъектов</w:t>
      </w:r>
      <w:proofErr w:type="gramEnd"/>
      <w:r w:rsidRPr="00A20E22">
        <w:rPr>
          <w:sz w:val="26"/>
          <w:szCs w:val="26"/>
        </w:rPr>
        <w:t xml:space="preserve"> РФ по обеспечению благоприятного инвестиционного климата в регионе, сформирована комплексная система </w:t>
      </w:r>
      <w:r w:rsidRPr="00A20E22">
        <w:rPr>
          <w:sz w:val="26"/>
          <w:szCs w:val="26"/>
        </w:rPr>
        <w:lastRenderedPageBreak/>
        <w:t>государственной поддержки инвестиционной деятельности.</w:t>
      </w:r>
    </w:p>
    <w:p w:rsidR="009F0C75" w:rsidRPr="00A20E22" w:rsidRDefault="009F0C75" w:rsidP="00BA596B">
      <w:pPr>
        <w:widowControl w:val="0"/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>Внедренные в Югре элементы системы управления взаимоотношениями с клиентами (CRM) позволяют выстраивать эффективный отдельный канал связи между инвесторами и руководством автономного округа по сопровождению проектов.</w:t>
      </w:r>
    </w:p>
    <w:p w:rsidR="009F0C75" w:rsidRPr="00A20E22" w:rsidRDefault="009F0C75" w:rsidP="00BA596B">
      <w:pPr>
        <w:widowControl w:val="0"/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 xml:space="preserve">Для сопровождения инвестиционных проектов как регионального, так и муниципального уровня на базе </w:t>
      </w:r>
      <w:proofErr w:type="spellStart"/>
      <w:r w:rsidRPr="00A20E22">
        <w:rPr>
          <w:sz w:val="26"/>
          <w:szCs w:val="26"/>
        </w:rPr>
        <w:t>Инвестпортала</w:t>
      </w:r>
      <w:proofErr w:type="spellEnd"/>
      <w:r w:rsidRPr="00A20E22">
        <w:rPr>
          <w:sz w:val="26"/>
          <w:szCs w:val="26"/>
        </w:rPr>
        <w:t xml:space="preserve"> Югры функционирует специализированная информационная система «Помощи инвестору», призванная обеспечить сопровождение инвестиционных проектов по принципу «одного окна».</w:t>
      </w:r>
    </w:p>
    <w:p w:rsidR="00A635BD" w:rsidRDefault="009F0C75" w:rsidP="00BA596B">
      <w:pPr>
        <w:widowControl w:val="0"/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 xml:space="preserve">С 2017 года в Российской Федерации главным инструментом </w:t>
      </w:r>
      <w:proofErr w:type="gramStart"/>
      <w:r w:rsidRPr="00A20E22">
        <w:rPr>
          <w:sz w:val="26"/>
          <w:szCs w:val="26"/>
        </w:rPr>
        <w:t>обеспечения улучшения условий ведения бизнеса</w:t>
      </w:r>
      <w:proofErr w:type="gramEnd"/>
      <w:r w:rsidRPr="00A20E22">
        <w:rPr>
          <w:sz w:val="26"/>
          <w:szCs w:val="26"/>
        </w:rPr>
        <w:t xml:space="preserve"> является реализация целевых моделей упрощения процедур ведения бизнеса и повышения инвестиционной привлекательности, предусмотренных перечнем поручений Президента РФ. </w:t>
      </w:r>
    </w:p>
    <w:p w:rsidR="009F0C75" w:rsidRPr="00A20E22" w:rsidRDefault="009F0C75" w:rsidP="00BA596B">
      <w:pPr>
        <w:widowControl w:val="0"/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 xml:space="preserve">В автономном округе активно используются инструменты государственно-частного партнерства, так в соответствии с концессионными соглашениями по состоянию на </w:t>
      </w:r>
      <w:r w:rsidRPr="00A635BD">
        <w:rPr>
          <w:sz w:val="26"/>
          <w:szCs w:val="26"/>
        </w:rPr>
        <w:t>1 апреля 2019 года</w:t>
      </w:r>
      <w:r w:rsidRPr="00A20E22">
        <w:rPr>
          <w:sz w:val="26"/>
          <w:szCs w:val="26"/>
        </w:rPr>
        <w:t xml:space="preserve"> реализуются </w:t>
      </w:r>
      <w:r w:rsidR="00A635BD">
        <w:rPr>
          <w:sz w:val="26"/>
          <w:szCs w:val="26"/>
        </w:rPr>
        <w:t>106</w:t>
      </w:r>
      <w:r w:rsidRPr="00A20E22">
        <w:rPr>
          <w:sz w:val="26"/>
          <w:szCs w:val="26"/>
        </w:rPr>
        <w:t xml:space="preserve"> проект</w:t>
      </w:r>
      <w:r w:rsidR="00A635BD">
        <w:rPr>
          <w:sz w:val="26"/>
          <w:szCs w:val="26"/>
        </w:rPr>
        <w:t>ов</w:t>
      </w:r>
      <w:r w:rsidRPr="00A20E22">
        <w:rPr>
          <w:sz w:val="26"/>
          <w:szCs w:val="26"/>
        </w:rPr>
        <w:t>, из них:</w:t>
      </w:r>
      <w:r w:rsidR="00770AB4">
        <w:rPr>
          <w:sz w:val="26"/>
          <w:szCs w:val="26"/>
        </w:rPr>
        <w:t xml:space="preserve"> </w:t>
      </w:r>
    </w:p>
    <w:p w:rsidR="00A635BD" w:rsidRDefault="00A635BD" w:rsidP="009F0C75">
      <w:pPr>
        <w:widowControl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67 – </w:t>
      </w:r>
      <w:proofErr w:type="spellStart"/>
      <w:r>
        <w:rPr>
          <w:sz w:val="26"/>
          <w:szCs w:val="26"/>
        </w:rPr>
        <w:t>энергосервисных</w:t>
      </w:r>
      <w:proofErr w:type="spellEnd"/>
      <w:r>
        <w:rPr>
          <w:sz w:val="26"/>
          <w:szCs w:val="26"/>
        </w:rPr>
        <w:t xml:space="preserve"> контрактов;</w:t>
      </w:r>
    </w:p>
    <w:p w:rsidR="00A635BD" w:rsidRDefault="00A635BD" w:rsidP="009F0C75">
      <w:pPr>
        <w:widowControl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35 – с использованием механизма концессионных соглашений;</w:t>
      </w:r>
    </w:p>
    <w:p w:rsidR="00A635BD" w:rsidRDefault="00A635BD" w:rsidP="009F0C75">
      <w:pPr>
        <w:widowControl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 – на основе контрактов жизненного цикла;</w:t>
      </w:r>
    </w:p>
    <w:p w:rsidR="00A635BD" w:rsidRDefault="00A635BD" w:rsidP="009F0C75">
      <w:pPr>
        <w:widowControl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 – соглашение о государственно-частном партнерстве по проектированию, строительству, оснащению и технической эксплуатации клинического перинатального центра в городе Сургуте.</w:t>
      </w:r>
    </w:p>
    <w:p w:rsidR="009F0C75" w:rsidRPr="00A20E22" w:rsidRDefault="009F0C75" w:rsidP="009F0C75">
      <w:pPr>
        <w:widowControl w:val="0"/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>В рейтинге регионов по уровню развития государственно-частного партнерства 2018-2019 годов Югра вошла в 6-ку лидеров России с уровнем 90</w:t>
      </w:r>
      <w:r w:rsidR="00573365" w:rsidRPr="00A20E22">
        <w:rPr>
          <w:sz w:val="26"/>
          <w:szCs w:val="26"/>
        </w:rPr>
        <w:t> </w:t>
      </w:r>
      <w:r w:rsidRPr="00A20E22">
        <w:rPr>
          <w:sz w:val="26"/>
          <w:szCs w:val="26"/>
        </w:rPr>
        <w:t>%+ наряду с такими регионами как Москва, Санкт-Петербург, Московская область, Республика Башкортостан, Самарская область</w:t>
      </w:r>
      <w:r w:rsidRPr="00A20E22">
        <w:rPr>
          <w:sz w:val="26"/>
          <w:szCs w:val="26"/>
          <w:vertAlign w:val="superscript"/>
        </w:rPr>
        <w:footnoteReference w:id="21"/>
      </w:r>
      <w:r w:rsidRPr="00A20E22">
        <w:rPr>
          <w:sz w:val="26"/>
          <w:szCs w:val="26"/>
        </w:rPr>
        <w:t>.</w:t>
      </w:r>
    </w:p>
    <w:p w:rsidR="009F0C75" w:rsidRPr="00A20E22" w:rsidRDefault="009F0C75" w:rsidP="009F0C75">
      <w:pPr>
        <w:pStyle w:val="af2"/>
        <w:shd w:val="clear" w:color="auto" w:fill="FFFFFF"/>
        <w:ind w:firstLine="708"/>
        <w:jc w:val="both"/>
        <w:rPr>
          <w:sz w:val="26"/>
          <w:szCs w:val="26"/>
        </w:rPr>
      </w:pPr>
      <w:r w:rsidRPr="00A20E22">
        <w:rPr>
          <w:sz w:val="26"/>
          <w:szCs w:val="26"/>
        </w:rPr>
        <w:t>В 201</w:t>
      </w:r>
      <w:r w:rsidR="000564DB" w:rsidRPr="00A20E22">
        <w:rPr>
          <w:sz w:val="26"/>
          <w:szCs w:val="26"/>
        </w:rPr>
        <w:t>9</w:t>
      </w:r>
      <w:r w:rsidRPr="00A20E22">
        <w:rPr>
          <w:sz w:val="26"/>
          <w:szCs w:val="26"/>
        </w:rPr>
        <w:t xml:space="preserve"> году Югра заняла 1</w:t>
      </w:r>
      <w:r w:rsidR="00451238" w:rsidRPr="00A20E22">
        <w:rPr>
          <w:sz w:val="26"/>
          <w:szCs w:val="26"/>
        </w:rPr>
        <w:t>7</w:t>
      </w:r>
      <w:r w:rsidRPr="00A20E22">
        <w:rPr>
          <w:sz w:val="26"/>
          <w:szCs w:val="26"/>
        </w:rPr>
        <w:t xml:space="preserve"> место в Национальном рейтинге состояния инвестиционного климата в субъектах РФ</w:t>
      </w:r>
      <w:hyperlink r:id="rId11" w:anchor="_ftn7" w:history="1"/>
      <w:r w:rsidRPr="00A20E22">
        <w:rPr>
          <w:sz w:val="26"/>
          <w:szCs w:val="26"/>
        </w:rPr>
        <w:t>.</w:t>
      </w:r>
    </w:p>
    <w:p w:rsidR="00FF4D9A" w:rsidRPr="00A20E22" w:rsidRDefault="00FF4D9A" w:rsidP="009F0C75">
      <w:pPr>
        <w:pStyle w:val="af2"/>
        <w:shd w:val="clear" w:color="auto" w:fill="FFFFFF"/>
        <w:ind w:firstLine="708"/>
        <w:jc w:val="both"/>
        <w:rPr>
          <w:rFonts w:eastAsiaTheme="majorEastAsia"/>
        </w:rPr>
      </w:pPr>
    </w:p>
    <w:p w:rsidR="005D43EA" w:rsidRPr="00A20E22" w:rsidRDefault="005D43EA" w:rsidP="001B58EA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eastAsiaTheme="majorEastAsia" w:hAnsi="Times New Roman"/>
          <w:b w:val="0"/>
          <w:sz w:val="26"/>
          <w:szCs w:val="26"/>
        </w:rPr>
      </w:pPr>
      <w:bookmarkStart w:id="12" w:name="_Toc10912547"/>
      <w:r w:rsidRPr="00A20E22">
        <w:rPr>
          <w:rFonts w:ascii="Times New Roman" w:eastAsiaTheme="majorEastAsia" w:hAnsi="Times New Roman"/>
          <w:b w:val="0"/>
          <w:sz w:val="26"/>
          <w:szCs w:val="26"/>
        </w:rPr>
        <w:t>Инновации</w:t>
      </w:r>
      <w:bookmarkEnd w:id="12"/>
    </w:p>
    <w:p w:rsidR="005D43EA" w:rsidRPr="00A20E22" w:rsidRDefault="005D43EA" w:rsidP="00276818">
      <w:pPr>
        <w:widowControl w:val="0"/>
        <w:ind w:firstLine="708"/>
        <w:jc w:val="both"/>
        <w:rPr>
          <w:rFonts w:eastAsia="Calibri"/>
          <w:sz w:val="26"/>
          <w:szCs w:val="26"/>
        </w:rPr>
      </w:pPr>
    </w:p>
    <w:p w:rsidR="0035203D" w:rsidRPr="00A20E22" w:rsidRDefault="0035203D" w:rsidP="0035203D">
      <w:pPr>
        <w:ind w:firstLine="709"/>
        <w:jc w:val="both"/>
        <w:rPr>
          <w:rFonts w:eastAsia="Calibri"/>
          <w:sz w:val="26"/>
          <w:szCs w:val="26"/>
        </w:rPr>
      </w:pPr>
      <w:r w:rsidRPr="00A20E22">
        <w:rPr>
          <w:rFonts w:eastAsia="Calibri"/>
          <w:sz w:val="26"/>
          <w:szCs w:val="26"/>
        </w:rPr>
        <w:t>Одной из задач устойчивого социально-экономического развития автономного округа является создание благоприятных условий для осуществления инновационной деятельности.</w:t>
      </w:r>
    </w:p>
    <w:p w:rsidR="0035203D" w:rsidRPr="00A20E22" w:rsidRDefault="0035203D" w:rsidP="0035203D">
      <w:pPr>
        <w:ind w:firstLine="709"/>
        <w:jc w:val="both"/>
        <w:rPr>
          <w:rFonts w:eastAsia="Calibri"/>
          <w:sz w:val="26"/>
          <w:szCs w:val="26"/>
        </w:rPr>
      </w:pPr>
      <w:r w:rsidRPr="00A20E22">
        <w:rPr>
          <w:rFonts w:eastAsia="Calibri"/>
          <w:sz w:val="26"/>
          <w:szCs w:val="26"/>
        </w:rPr>
        <w:t xml:space="preserve">В Югре сформирована вся необходимая для развития инновационной среды нормативная правовая база и соответствующая инфраструктура, которая представлена следующими </w:t>
      </w:r>
      <w:r w:rsidRPr="00A20E22">
        <w:rPr>
          <w:rFonts w:eastAsia="Calibri"/>
          <w:sz w:val="26"/>
          <w:szCs w:val="26"/>
          <w:lang w:eastAsia="en-US"/>
        </w:rPr>
        <w:t>организациями:</w:t>
      </w:r>
    </w:p>
    <w:p w:rsidR="0035203D" w:rsidRPr="00A20E22" w:rsidRDefault="0035203D" w:rsidP="0035203D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20E22">
        <w:rPr>
          <w:rFonts w:eastAsia="Calibri"/>
          <w:sz w:val="26"/>
          <w:szCs w:val="26"/>
          <w:lang w:eastAsia="en-US"/>
        </w:rPr>
        <w:t xml:space="preserve">Автономное учреждение Ханты-Мансийского автономного округа – Югры «Технопарк высоких технологий» (далее – Технопарк). В целях стимулирования инновационной активности предприятий в Югре Технопарком предоставляется информационная и консультационная поддержка субъектов малого и среднего предпринимательства, способствующая росту числа инновационных компаний. На базе Технопарка осуществляют свою деятельность объекты инновационной инфраструктуры: центр </w:t>
      </w:r>
      <w:proofErr w:type="spellStart"/>
      <w:r w:rsidRPr="00A20E22">
        <w:rPr>
          <w:rFonts w:eastAsia="Calibri"/>
          <w:sz w:val="26"/>
          <w:szCs w:val="26"/>
          <w:lang w:eastAsia="en-US"/>
        </w:rPr>
        <w:t>прототипирования</w:t>
      </w:r>
      <w:proofErr w:type="spellEnd"/>
      <w:r w:rsidRPr="00A20E22">
        <w:rPr>
          <w:rFonts w:eastAsia="Calibri"/>
          <w:sz w:val="26"/>
          <w:szCs w:val="26"/>
          <w:lang w:eastAsia="en-US"/>
        </w:rPr>
        <w:t>; центр поддержки технологий и инноваций; центр кластерного развития; региональный центр инжиниринга;</w:t>
      </w:r>
    </w:p>
    <w:p w:rsidR="0035203D" w:rsidRPr="00A20E22" w:rsidRDefault="0035203D" w:rsidP="0035203D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20E22">
        <w:rPr>
          <w:rFonts w:eastAsia="Calibri"/>
          <w:sz w:val="26"/>
          <w:szCs w:val="26"/>
          <w:lang w:eastAsia="en-US"/>
        </w:rPr>
        <w:t>Фонд поддержки предпринимательства Югры;</w:t>
      </w:r>
    </w:p>
    <w:p w:rsidR="0035203D" w:rsidRPr="00A20E22" w:rsidRDefault="0035203D" w:rsidP="0035203D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20E22">
        <w:rPr>
          <w:rFonts w:eastAsia="Calibri"/>
          <w:sz w:val="26"/>
          <w:szCs w:val="26"/>
          <w:lang w:eastAsia="en-US"/>
        </w:rPr>
        <w:lastRenderedPageBreak/>
        <w:t xml:space="preserve">Фонд «Югорская региональная </w:t>
      </w:r>
      <w:proofErr w:type="spellStart"/>
      <w:r w:rsidRPr="00A20E22">
        <w:rPr>
          <w:rFonts w:eastAsia="Calibri"/>
          <w:sz w:val="26"/>
          <w:szCs w:val="26"/>
          <w:lang w:eastAsia="en-US"/>
        </w:rPr>
        <w:t>микрокредитная</w:t>
      </w:r>
      <w:proofErr w:type="spellEnd"/>
      <w:r w:rsidRPr="00A20E22">
        <w:rPr>
          <w:rFonts w:eastAsia="Calibri"/>
          <w:sz w:val="26"/>
          <w:szCs w:val="26"/>
          <w:lang w:eastAsia="en-US"/>
        </w:rPr>
        <w:t xml:space="preserve"> компания»;</w:t>
      </w:r>
    </w:p>
    <w:p w:rsidR="0035203D" w:rsidRPr="00A20E22" w:rsidRDefault="0035203D" w:rsidP="0035203D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20E22">
        <w:rPr>
          <w:rFonts w:eastAsia="Calibri"/>
          <w:sz w:val="26"/>
          <w:szCs w:val="26"/>
          <w:lang w:eastAsia="en-US"/>
        </w:rPr>
        <w:t>Фонд «Центр поддержки экспорта Югры»;</w:t>
      </w:r>
    </w:p>
    <w:p w:rsidR="0035203D" w:rsidRPr="00A20E22" w:rsidRDefault="0035203D" w:rsidP="0035203D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20E22">
        <w:rPr>
          <w:rFonts w:eastAsia="Calibri"/>
          <w:sz w:val="26"/>
          <w:szCs w:val="26"/>
          <w:lang w:eastAsia="en-US"/>
        </w:rPr>
        <w:t xml:space="preserve">Фонд </w:t>
      </w:r>
      <w:proofErr w:type="gramStart"/>
      <w:r w:rsidRPr="00A20E22">
        <w:rPr>
          <w:rFonts w:eastAsia="Calibri"/>
          <w:sz w:val="26"/>
          <w:szCs w:val="26"/>
          <w:lang w:eastAsia="en-US"/>
        </w:rPr>
        <w:t>научно-технологического</w:t>
      </w:r>
      <w:proofErr w:type="gramEnd"/>
      <w:r w:rsidRPr="00A20E22">
        <w:rPr>
          <w:rFonts w:eastAsia="Calibri"/>
          <w:sz w:val="26"/>
          <w:szCs w:val="26"/>
          <w:lang w:eastAsia="en-US"/>
        </w:rPr>
        <w:t xml:space="preserve"> развития автономного округа;</w:t>
      </w:r>
    </w:p>
    <w:p w:rsidR="0035203D" w:rsidRPr="00A20E22" w:rsidRDefault="0035203D" w:rsidP="0035203D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20E22">
        <w:rPr>
          <w:rFonts w:eastAsia="Calibri"/>
          <w:sz w:val="26"/>
          <w:szCs w:val="26"/>
          <w:lang w:eastAsia="en-US"/>
        </w:rPr>
        <w:t>Фонд развития Ханты-Мансийского автономного округа – Югры.</w:t>
      </w:r>
    </w:p>
    <w:p w:rsidR="0035203D" w:rsidRPr="00A20E22" w:rsidRDefault="0035203D" w:rsidP="0035203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A20E22">
        <w:rPr>
          <w:rFonts w:eastAsia="Calibri"/>
          <w:sz w:val="26"/>
          <w:szCs w:val="26"/>
          <w:lang w:eastAsia="en-US"/>
        </w:rPr>
        <w:t xml:space="preserve">В 2016 году создан Центр молодежного инновационного творчества (далее – ЦМИТ). Деятельность ЦМИТ направлена на </w:t>
      </w:r>
      <w:r w:rsidRPr="00A20E22">
        <w:rPr>
          <w:rFonts w:eastAsiaTheme="minorHAnsi"/>
          <w:sz w:val="26"/>
          <w:szCs w:val="26"/>
          <w:lang w:eastAsia="en-US"/>
        </w:rPr>
        <w:t xml:space="preserve">создание благоприятных условий для детей, молодежи и субъектов малого и среднего предпринимательства в целях их развития в научно-технической, инновационной и производственной сферах, путем создания материально-технической, экономической, информационной базы. За период январь-июнь 2019 года услугами ЦМИТ воспользовались </w:t>
      </w:r>
      <w:r w:rsidR="00F94518" w:rsidRPr="00A20E22">
        <w:rPr>
          <w:rFonts w:eastAsiaTheme="minorHAnsi"/>
          <w:sz w:val="26"/>
          <w:szCs w:val="26"/>
          <w:lang w:eastAsia="en-US"/>
        </w:rPr>
        <w:t>440</w:t>
      </w:r>
      <w:r w:rsidRPr="00A20E22">
        <w:rPr>
          <w:rFonts w:eastAsiaTheme="minorHAnsi"/>
          <w:sz w:val="26"/>
          <w:szCs w:val="26"/>
          <w:lang w:eastAsia="en-US"/>
        </w:rPr>
        <w:t xml:space="preserve"> человек</w:t>
      </w:r>
      <w:r w:rsidRPr="00A20E22">
        <w:rPr>
          <w:rStyle w:val="a8"/>
          <w:rFonts w:eastAsiaTheme="minorHAnsi"/>
          <w:sz w:val="26"/>
          <w:szCs w:val="26"/>
          <w:lang w:eastAsia="en-US"/>
        </w:rPr>
        <w:footnoteReference w:id="22"/>
      </w:r>
      <w:r w:rsidRPr="00A20E22">
        <w:rPr>
          <w:rFonts w:eastAsiaTheme="minorHAnsi"/>
          <w:sz w:val="26"/>
          <w:szCs w:val="26"/>
          <w:lang w:eastAsia="en-US"/>
        </w:rPr>
        <w:t>.</w:t>
      </w:r>
    </w:p>
    <w:p w:rsidR="0035203D" w:rsidRPr="00A20E22" w:rsidRDefault="0035203D" w:rsidP="0035203D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20E22">
        <w:rPr>
          <w:sz w:val="26"/>
          <w:szCs w:val="26"/>
        </w:rPr>
        <w:t xml:space="preserve">На 1 июля 2019 года резидентами Технопарка являются 40 субъектов </w:t>
      </w:r>
      <w:r w:rsidRPr="00651006">
        <w:rPr>
          <w:sz w:val="26"/>
          <w:szCs w:val="26"/>
        </w:rPr>
        <w:t>малого и среднего предпринимательства, 166 рабочих мест</w:t>
      </w:r>
      <w:r w:rsidR="00492744">
        <w:rPr>
          <w:sz w:val="26"/>
          <w:szCs w:val="26"/>
        </w:rPr>
        <w:t>,</w:t>
      </w:r>
      <w:r w:rsidRPr="00651006">
        <w:rPr>
          <w:sz w:val="26"/>
          <w:szCs w:val="26"/>
        </w:rPr>
        <w:t xml:space="preserve"> из них вновь созданных 16, объем реализованной инновационной продукции – 54,7 млн. рублей, объём налоговых поступлений в бюджеты всех уровней от компаний – резидентов – 11,2 млн. рублей</w:t>
      </w:r>
      <w:r w:rsidR="00373A7A" w:rsidRPr="00651006">
        <w:rPr>
          <w:rStyle w:val="a8"/>
          <w:sz w:val="26"/>
          <w:szCs w:val="26"/>
        </w:rPr>
        <w:footnoteReference w:id="23"/>
      </w:r>
      <w:r w:rsidRPr="00651006">
        <w:rPr>
          <w:rFonts w:eastAsia="Calibri"/>
          <w:sz w:val="26"/>
          <w:szCs w:val="26"/>
          <w:lang w:eastAsia="en-US"/>
        </w:rPr>
        <w:t>.</w:t>
      </w:r>
    </w:p>
    <w:p w:rsidR="005D43EA" w:rsidRPr="00A20E22" w:rsidRDefault="005D43EA" w:rsidP="00E81E32">
      <w:pPr>
        <w:autoSpaceDE w:val="0"/>
        <w:autoSpaceDN w:val="0"/>
        <w:adjustRightInd w:val="0"/>
        <w:ind w:firstLine="709"/>
        <w:jc w:val="both"/>
      </w:pPr>
    </w:p>
    <w:p w:rsidR="00C86305" w:rsidRPr="00A20E22" w:rsidRDefault="00C86305" w:rsidP="001B58EA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eastAsiaTheme="majorEastAsia" w:hAnsi="Times New Roman"/>
          <w:b w:val="0"/>
          <w:sz w:val="26"/>
          <w:szCs w:val="26"/>
        </w:rPr>
      </w:pPr>
      <w:bookmarkStart w:id="13" w:name="_Toc10912548"/>
      <w:r w:rsidRPr="00A20E22">
        <w:rPr>
          <w:rFonts w:ascii="Times New Roman" w:eastAsiaTheme="majorEastAsia" w:hAnsi="Times New Roman"/>
          <w:b w:val="0"/>
          <w:sz w:val="26"/>
          <w:szCs w:val="26"/>
        </w:rPr>
        <w:t>Бюджетная система</w:t>
      </w:r>
      <w:bookmarkEnd w:id="13"/>
    </w:p>
    <w:p w:rsidR="00C86305" w:rsidRPr="00A20E22" w:rsidRDefault="00C86305" w:rsidP="007F033E">
      <w:pPr>
        <w:widowControl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8B711F" w:rsidRPr="00A20E22" w:rsidRDefault="008B711F" w:rsidP="008B711F">
      <w:pPr>
        <w:widowControl w:val="0"/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>В бюджетную систему Российской Федерации налогоплательщиками автономного округа за янва</w:t>
      </w:r>
      <w:r w:rsidR="00852407">
        <w:rPr>
          <w:sz w:val="26"/>
          <w:szCs w:val="26"/>
        </w:rPr>
        <w:t>рь-июнь 2019 года перечислено 1</w:t>
      </w:r>
      <w:r w:rsidRPr="00A20E22">
        <w:rPr>
          <w:sz w:val="26"/>
          <w:szCs w:val="26"/>
        </w:rPr>
        <w:t>729,9 млрд. рублей налогов, сборов и иных платежей</w:t>
      </w:r>
      <w:r w:rsidRPr="00A20E22">
        <w:rPr>
          <w:sz w:val="26"/>
          <w:szCs w:val="26"/>
          <w:vertAlign w:val="superscript"/>
        </w:rPr>
        <w:footnoteReference w:id="24"/>
      </w:r>
      <w:r w:rsidRPr="00A20E22">
        <w:rPr>
          <w:sz w:val="26"/>
          <w:szCs w:val="26"/>
        </w:rPr>
        <w:t xml:space="preserve">, что на 14,6 % больше, чем за соответствующий период 2018 года. Основная часть поступлений (78,1 %) обеспечена налогом на добычу полезных ископаемых. </w:t>
      </w:r>
    </w:p>
    <w:p w:rsidR="008B711F" w:rsidRPr="00A20E22" w:rsidRDefault="008B711F" w:rsidP="008B711F">
      <w:pPr>
        <w:ind w:firstLine="720"/>
        <w:jc w:val="both"/>
        <w:rPr>
          <w:sz w:val="26"/>
          <w:szCs w:val="26"/>
        </w:rPr>
      </w:pPr>
      <w:r w:rsidRPr="00A20E22">
        <w:rPr>
          <w:sz w:val="26"/>
          <w:szCs w:val="26"/>
        </w:rPr>
        <w:t xml:space="preserve">Консолидированный бюджет автономного округа (без учета доходов территориальных внебюджетных фондов) исполнен по доходам в сумме </w:t>
      </w:r>
      <w:r w:rsidR="00A57BDC" w:rsidRPr="00A20E22">
        <w:rPr>
          <w:sz w:val="26"/>
          <w:szCs w:val="26"/>
        </w:rPr>
        <w:t>149,8</w:t>
      </w:r>
      <w:r w:rsidRPr="00A20E22">
        <w:rPr>
          <w:sz w:val="26"/>
          <w:szCs w:val="26"/>
        </w:rPr>
        <w:t xml:space="preserve"> млрд. рублей, что на </w:t>
      </w:r>
      <w:r w:rsidR="009978CC" w:rsidRPr="00A20E22">
        <w:rPr>
          <w:sz w:val="26"/>
          <w:szCs w:val="26"/>
        </w:rPr>
        <w:t>4,2 </w:t>
      </w:r>
      <w:r w:rsidRPr="00A20E22">
        <w:rPr>
          <w:sz w:val="26"/>
          <w:szCs w:val="26"/>
        </w:rPr>
        <w:t>% больше, чем за январь-июнь 2018 года (</w:t>
      </w:r>
      <w:r w:rsidR="009978CC" w:rsidRPr="00A20E22">
        <w:rPr>
          <w:sz w:val="26"/>
          <w:szCs w:val="26"/>
        </w:rPr>
        <w:t>143,8</w:t>
      </w:r>
      <w:r w:rsidRPr="00A20E22">
        <w:rPr>
          <w:sz w:val="26"/>
          <w:szCs w:val="26"/>
        </w:rPr>
        <w:t xml:space="preserve"> млрд. рублей). </w:t>
      </w:r>
    </w:p>
    <w:p w:rsidR="004443EF" w:rsidRDefault="008B711F" w:rsidP="008B711F">
      <w:pPr>
        <w:widowControl w:val="0"/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 xml:space="preserve">В структуре доходной </w:t>
      </w:r>
      <w:r w:rsidRPr="004B15BE">
        <w:rPr>
          <w:sz w:val="26"/>
          <w:szCs w:val="26"/>
        </w:rPr>
        <w:t xml:space="preserve">части консолидированного бюджета автономного округа доля налоговых доходов составляет </w:t>
      </w:r>
      <w:r w:rsidR="00900638" w:rsidRPr="004B15BE">
        <w:rPr>
          <w:sz w:val="26"/>
          <w:szCs w:val="26"/>
        </w:rPr>
        <w:t>88,8</w:t>
      </w:r>
      <w:r w:rsidRPr="004B15BE">
        <w:rPr>
          <w:sz w:val="26"/>
          <w:szCs w:val="26"/>
        </w:rPr>
        <w:t xml:space="preserve"> % от общей суммы доходов бюджета (январь-июнь 2018 года – </w:t>
      </w:r>
      <w:r w:rsidR="009978CC" w:rsidRPr="004B15BE">
        <w:rPr>
          <w:sz w:val="26"/>
          <w:szCs w:val="26"/>
        </w:rPr>
        <w:t>93,4</w:t>
      </w:r>
      <w:r w:rsidRPr="004B15BE">
        <w:rPr>
          <w:sz w:val="26"/>
          <w:szCs w:val="26"/>
        </w:rPr>
        <w:t xml:space="preserve"> %), неналоговых доходов</w:t>
      </w:r>
      <w:r w:rsidRPr="00A20E22">
        <w:rPr>
          <w:sz w:val="26"/>
          <w:szCs w:val="26"/>
        </w:rPr>
        <w:t xml:space="preserve"> – </w:t>
      </w:r>
      <w:r w:rsidR="009978CC" w:rsidRPr="00A20E22">
        <w:rPr>
          <w:sz w:val="26"/>
          <w:szCs w:val="26"/>
        </w:rPr>
        <w:t>5,2</w:t>
      </w:r>
      <w:r w:rsidRPr="00A20E22">
        <w:rPr>
          <w:sz w:val="26"/>
          <w:szCs w:val="26"/>
        </w:rPr>
        <w:t xml:space="preserve"> % (январь-июнь 2018 года – </w:t>
      </w:r>
      <w:r w:rsidR="009978CC" w:rsidRPr="00A20E22">
        <w:rPr>
          <w:sz w:val="26"/>
          <w:szCs w:val="26"/>
        </w:rPr>
        <w:t>4,6</w:t>
      </w:r>
      <w:r w:rsidR="000E4681">
        <w:rPr>
          <w:sz w:val="26"/>
          <w:szCs w:val="26"/>
        </w:rPr>
        <w:t xml:space="preserve"> </w:t>
      </w:r>
      <w:r w:rsidRPr="00A20E22">
        <w:rPr>
          <w:sz w:val="26"/>
          <w:szCs w:val="26"/>
        </w:rPr>
        <w:t xml:space="preserve">%), безвозмездных поступлений – </w:t>
      </w:r>
      <w:r w:rsidR="009978CC" w:rsidRPr="00A20E22">
        <w:rPr>
          <w:sz w:val="26"/>
          <w:szCs w:val="26"/>
        </w:rPr>
        <w:t>6,0</w:t>
      </w:r>
      <w:r w:rsidR="00E0557C">
        <w:rPr>
          <w:sz w:val="26"/>
          <w:szCs w:val="26"/>
        </w:rPr>
        <w:t xml:space="preserve"> </w:t>
      </w:r>
      <w:r w:rsidRPr="00A20E22">
        <w:rPr>
          <w:sz w:val="26"/>
          <w:szCs w:val="26"/>
        </w:rPr>
        <w:t>% (январь-</w:t>
      </w:r>
      <w:r w:rsidR="009978CC" w:rsidRPr="00A20E22">
        <w:rPr>
          <w:sz w:val="26"/>
          <w:szCs w:val="26"/>
        </w:rPr>
        <w:t>июнь</w:t>
      </w:r>
      <w:r w:rsidRPr="00A20E22">
        <w:rPr>
          <w:sz w:val="26"/>
          <w:szCs w:val="26"/>
        </w:rPr>
        <w:t xml:space="preserve"> 2018 года – </w:t>
      </w:r>
      <w:r w:rsidR="009978CC" w:rsidRPr="00A20E22">
        <w:rPr>
          <w:sz w:val="26"/>
          <w:szCs w:val="26"/>
        </w:rPr>
        <w:t>2,0</w:t>
      </w:r>
      <w:r w:rsidRPr="00A20E22">
        <w:rPr>
          <w:sz w:val="26"/>
          <w:szCs w:val="26"/>
        </w:rPr>
        <w:t xml:space="preserve"> %). </w:t>
      </w:r>
    </w:p>
    <w:p w:rsidR="008B711F" w:rsidRPr="00A20E22" w:rsidRDefault="008B711F" w:rsidP="008B711F">
      <w:pPr>
        <w:widowControl w:val="0"/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>Основной объем в структуре налоговых доходов составляют налоги:</w:t>
      </w:r>
    </w:p>
    <w:p w:rsidR="00852407" w:rsidRPr="004443EF" w:rsidRDefault="00852407" w:rsidP="00852407">
      <w:pPr>
        <w:widowControl w:val="0"/>
        <w:ind w:firstLine="709"/>
        <w:jc w:val="both"/>
        <w:rPr>
          <w:sz w:val="26"/>
          <w:szCs w:val="26"/>
        </w:rPr>
      </w:pPr>
      <w:r w:rsidRPr="004443EF">
        <w:rPr>
          <w:sz w:val="26"/>
          <w:szCs w:val="26"/>
        </w:rPr>
        <w:t>на прибыль организаций – 35,3 %;</w:t>
      </w:r>
    </w:p>
    <w:p w:rsidR="008B711F" w:rsidRPr="004443EF" w:rsidRDefault="008B711F" w:rsidP="004443EF">
      <w:pPr>
        <w:widowControl w:val="0"/>
        <w:ind w:firstLine="709"/>
        <w:jc w:val="both"/>
        <w:rPr>
          <w:sz w:val="26"/>
          <w:szCs w:val="26"/>
        </w:rPr>
      </w:pPr>
      <w:r w:rsidRPr="004443EF">
        <w:rPr>
          <w:sz w:val="26"/>
          <w:szCs w:val="26"/>
        </w:rPr>
        <w:t xml:space="preserve">на доходы физических лиц – </w:t>
      </w:r>
      <w:r w:rsidR="009978CC" w:rsidRPr="004443EF">
        <w:rPr>
          <w:sz w:val="26"/>
          <w:szCs w:val="26"/>
        </w:rPr>
        <w:t>32,5</w:t>
      </w:r>
      <w:r w:rsidRPr="004443EF">
        <w:rPr>
          <w:sz w:val="26"/>
          <w:szCs w:val="26"/>
        </w:rPr>
        <w:t xml:space="preserve"> %;</w:t>
      </w:r>
    </w:p>
    <w:p w:rsidR="008B711F" w:rsidRPr="004443EF" w:rsidRDefault="008B711F" w:rsidP="004443EF">
      <w:pPr>
        <w:widowControl w:val="0"/>
        <w:ind w:firstLine="709"/>
        <w:jc w:val="both"/>
        <w:rPr>
          <w:sz w:val="26"/>
          <w:szCs w:val="26"/>
        </w:rPr>
      </w:pPr>
      <w:r w:rsidRPr="004443EF">
        <w:rPr>
          <w:sz w:val="26"/>
          <w:szCs w:val="26"/>
        </w:rPr>
        <w:t xml:space="preserve">на имущество организаций – </w:t>
      </w:r>
      <w:r w:rsidR="009978CC" w:rsidRPr="004443EF">
        <w:rPr>
          <w:sz w:val="26"/>
          <w:szCs w:val="26"/>
        </w:rPr>
        <w:t>26,1</w:t>
      </w:r>
      <w:r w:rsidRPr="004443EF">
        <w:rPr>
          <w:sz w:val="26"/>
          <w:szCs w:val="26"/>
        </w:rPr>
        <w:t xml:space="preserve"> %.</w:t>
      </w:r>
    </w:p>
    <w:p w:rsidR="008B711F" w:rsidRPr="00A20E22" w:rsidRDefault="008B711F" w:rsidP="008B711F">
      <w:pPr>
        <w:widowControl w:val="0"/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 xml:space="preserve">Расходы консолидированного бюджета автономного округа (без учета расходов территориальных внебюджетных фондов) составили </w:t>
      </w:r>
      <w:r w:rsidR="00490781" w:rsidRPr="00A20E22">
        <w:rPr>
          <w:sz w:val="26"/>
          <w:szCs w:val="26"/>
        </w:rPr>
        <w:t>121,9</w:t>
      </w:r>
      <w:r w:rsidRPr="00A20E22">
        <w:rPr>
          <w:sz w:val="26"/>
          <w:szCs w:val="26"/>
        </w:rPr>
        <w:t xml:space="preserve"> млрд. рублей, что на </w:t>
      </w:r>
      <w:r w:rsidR="00490781" w:rsidRPr="00A20E22">
        <w:rPr>
          <w:sz w:val="26"/>
          <w:szCs w:val="26"/>
        </w:rPr>
        <w:t>2,9 </w:t>
      </w:r>
      <w:r w:rsidRPr="00A20E22">
        <w:rPr>
          <w:sz w:val="26"/>
          <w:szCs w:val="26"/>
        </w:rPr>
        <w:t>% больше, чем за январь-июнь 2018 года (</w:t>
      </w:r>
      <w:r w:rsidR="00490781" w:rsidRPr="00A20E22">
        <w:rPr>
          <w:sz w:val="26"/>
          <w:szCs w:val="26"/>
        </w:rPr>
        <w:t>118,5</w:t>
      </w:r>
      <w:r w:rsidRPr="00A20E22">
        <w:rPr>
          <w:sz w:val="26"/>
          <w:szCs w:val="26"/>
        </w:rPr>
        <w:t xml:space="preserve"> млрд. рублей).</w:t>
      </w:r>
    </w:p>
    <w:p w:rsidR="008B711F" w:rsidRPr="00A20E22" w:rsidRDefault="008B711F" w:rsidP="008B711F">
      <w:pPr>
        <w:widowControl w:val="0"/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 xml:space="preserve">От общего объема расходов консолидированного бюджета автономного округа </w:t>
      </w:r>
      <w:r w:rsidR="00564010" w:rsidRPr="00A20E22">
        <w:rPr>
          <w:sz w:val="26"/>
          <w:szCs w:val="26"/>
        </w:rPr>
        <w:t>73,8</w:t>
      </w:r>
      <w:r w:rsidRPr="00A20E22">
        <w:rPr>
          <w:sz w:val="26"/>
          <w:szCs w:val="26"/>
        </w:rPr>
        <w:t xml:space="preserve"> % направлено на развитие здравоохранения, образования, социальной политики, культуры, физкультуры и спорта. В абсолютной сумме – </w:t>
      </w:r>
      <w:r w:rsidR="00564010" w:rsidRPr="00A20E22">
        <w:rPr>
          <w:sz w:val="26"/>
          <w:szCs w:val="26"/>
        </w:rPr>
        <w:t>90,0</w:t>
      </w:r>
      <w:r w:rsidRPr="00A20E22">
        <w:rPr>
          <w:sz w:val="26"/>
          <w:szCs w:val="26"/>
        </w:rPr>
        <w:t xml:space="preserve"> млрд. рублей. </w:t>
      </w:r>
    </w:p>
    <w:p w:rsidR="00054CBE" w:rsidRPr="00A20E22" w:rsidRDefault="00054CBE" w:rsidP="00054CBE">
      <w:pPr>
        <w:widowControl w:val="0"/>
        <w:ind w:firstLine="709"/>
        <w:jc w:val="both"/>
        <w:rPr>
          <w:rFonts w:eastAsia="Courier New"/>
          <w:sz w:val="26"/>
          <w:szCs w:val="26"/>
        </w:rPr>
      </w:pPr>
      <w:r w:rsidRPr="00054CBE">
        <w:rPr>
          <w:rFonts w:eastAsia="Courier New"/>
          <w:sz w:val="26"/>
          <w:szCs w:val="26"/>
        </w:rPr>
        <w:t xml:space="preserve">В целях стимулирования деловой активности и повышения инвестиционной привлекательности Югры на поддержку отраслей экономики направлено 17,9 млрд. </w:t>
      </w:r>
      <w:r w:rsidRPr="00054CBE">
        <w:rPr>
          <w:rFonts w:eastAsia="Courier New"/>
          <w:sz w:val="26"/>
          <w:szCs w:val="26"/>
        </w:rPr>
        <w:lastRenderedPageBreak/>
        <w:t>рублей, что составляет 14,7 % от общих расходов консолидированного бюджета автономного округа.</w:t>
      </w:r>
    </w:p>
    <w:p w:rsidR="008B711F" w:rsidRPr="00A20E22" w:rsidRDefault="008B711F" w:rsidP="008B711F">
      <w:pPr>
        <w:widowControl w:val="0"/>
        <w:ind w:firstLine="709"/>
        <w:jc w:val="both"/>
        <w:rPr>
          <w:rFonts w:eastAsia="Courier New"/>
          <w:sz w:val="26"/>
          <w:szCs w:val="26"/>
        </w:rPr>
      </w:pPr>
      <w:r w:rsidRPr="00A20E22">
        <w:rPr>
          <w:sz w:val="26"/>
          <w:szCs w:val="26"/>
        </w:rPr>
        <w:t xml:space="preserve">Консолидированный бюджет автономного округа исполнен с </w:t>
      </w:r>
      <w:r w:rsidR="003243B6" w:rsidRPr="00A20E22">
        <w:rPr>
          <w:sz w:val="26"/>
          <w:szCs w:val="26"/>
        </w:rPr>
        <w:t>профицитом</w:t>
      </w:r>
      <w:r w:rsidRPr="00A20E22">
        <w:rPr>
          <w:sz w:val="26"/>
          <w:szCs w:val="26"/>
        </w:rPr>
        <w:t xml:space="preserve"> в размере </w:t>
      </w:r>
      <w:r w:rsidR="003243B6" w:rsidRPr="00A20E22">
        <w:rPr>
          <w:sz w:val="26"/>
          <w:szCs w:val="26"/>
        </w:rPr>
        <w:t>27,9</w:t>
      </w:r>
      <w:r w:rsidRPr="00A20E22">
        <w:rPr>
          <w:sz w:val="26"/>
          <w:szCs w:val="26"/>
        </w:rPr>
        <w:t xml:space="preserve"> млрд. рублей.</w:t>
      </w:r>
      <w:r w:rsidRPr="00A20E22">
        <w:rPr>
          <w:rFonts w:eastAsia="Courier New"/>
          <w:sz w:val="26"/>
          <w:szCs w:val="26"/>
        </w:rPr>
        <w:t xml:space="preserve"> </w:t>
      </w:r>
    </w:p>
    <w:p w:rsidR="008B711F" w:rsidRPr="00A20E22" w:rsidRDefault="008B711F" w:rsidP="008B711F">
      <w:pPr>
        <w:widowControl w:val="0"/>
        <w:ind w:firstLine="709"/>
        <w:jc w:val="both"/>
        <w:rPr>
          <w:rFonts w:eastAsia="Courier New"/>
          <w:sz w:val="26"/>
          <w:szCs w:val="26"/>
        </w:rPr>
      </w:pPr>
      <w:r w:rsidRPr="00A20E22">
        <w:rPr>
          <w:rFonts w:eastAsia="Courier New"/>
          <w:sz w:val="26"/>
          <w:szCs w:val="26"/>
        </w:rPr>
        <w:t xml:space="preserve">Все социальные приоритеты, установленные законодательством Российской Федерации и автономного округа, указами Президента Российской Федерации, а также все публичные социальные обязательства перед населением выполнены в полном объеме. </w:t>
      </w:r>
    </w:p>
    <w:p w:rsidR="00276818" w:rsidRPr="00A20E22" w:rsidRDefault="00276818" w:rsidP="007E69F6">
      <w:pPr>
        <w:widowControl w:val="0"/>
        <w:ind w:firstLine="709"/>
        <w:jc w:val="both"/>
        <w:rPr>
          <w:sz w:val="26"/>
          <w:szCs w:val="26"/>
        </w:rPr>
      </w:pPr>
    </w:p>
    <w:p w:rsidR="00A232E2" w:rsidRDefault="00A232E2" w:rsidP="001B58EA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eastAsiaTheme="majorEastAsia" w:hAnsi="Times New Roman"/>
          <w:b w:val="0"/>
          <w:sz w:val="26"/>
          <w:szCs w:val="26"/>
          <w:lang w:val="ru-RU"/>
        </w:rPr>
      </w:pPr>
      <w:bookmarkStart w:id="14" w:name="_Toc10912549"/>
      <w:r w:rsidRPr="00A20E22">
        <w:rPr>
          <w:rFonts w:ascii="Times New Roman" w:eastAsiaTheme="majorEastAsia" w:hAnsi="Times New Roman"/>
          <w:b w:val="0"/>
          <w:sz w:val="26"/>
          <w:szCs w:val="26"/>
        </w:rPr>
        <w:t>Уровень жизни населения</w:t>
      </w:r>
      <w:bookmarkEnd w:id="14"/>
    </w:p>
    <w:p w:rsidR="00651006" w:rsidRDefault="00651006" w:rsidP="001C47EB">
      <w:pPr>
        <w:pStyle w:val="Default"/>
        <w:ind w:firstLine="708"/>
        <w:jc w:val="both"/>
        <w:rPr>
          <w:color w:val="auto"/>
          <w:sz w:val="26"/>
          <w:szCs w:val="26"/>
        </w:rPr>
      </w:pPr>
      <w:bookmarkStart w:id="15" w:name="_Toc10912550"/>
    </w:p>
    <w:bookmarkEnd w:id="15"/>
    <w:p w:rsidR="00CC224B" w:rsidRPr="00CC224B" w:rsidRDefault="00CC224B" w:rsidP="00CC224B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A20E22">
        <w:rPr>
          <w:color w:val="auto"/>
          <w:sz w:val="26"/>
          <w:szCs w:val="26"/>
        </w:rPr>
        <w:t xml:space="preserve">Среднемесячные денежные доходы населения </w:t>
      </w:r>
      <w:r w:rsidRPr="00CC224B">
        <w:rPr>
          <w:color w:val="auto"/>
          <w:sz w:val="26"/>
          <w:szCs w:val="26"/>
        </w:rPr>
        <w:t xml:space="preserve">за январь-июнь 2019 года составили 51907 рублей (за январь-июнь 2018 года – 50298 рублей). Реальные денежные доходы (скорректированные на индекс потребительских цен) за январь-июнь 2019 года по сравнению с соответствующим уровнем 2018 года увеличились на 0,5 %. </w:t>
      </w:r>
    </w:p>
    <w:p w:rsidR="00CC224B" w:rsidRPr="00A20E22" w:rsidRDefault="00CC224B" w:rsidP="00CC224B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CC224B">
        <w:rPr>
          <w:color w:val="auto"/>
          <w:sz w:val="26"/>
          <w:szCs w:val="26"/>
        </w:rPr>
        <w:t>В целях поддержания реальных денежных доходов населения проводятся мероприятия по повышению оплаты труда отдельным</w:t>
      </w:r>
      <w:r w:rsidRPr="00A20E22">
        <w:rPr>
          <w:color w:val="auto"/>
          <w:sz w:val="26"/>
          <w:szCs w:val="26"/>
        </w:rPr>
        <w:t xml:space="preserve"> категориям граждан социальной сферы и науки, а также </w:t>
      </w:r>
      <w:r w:rsidRPr="00CC224B">
        <w:rPr>
          <w:color w:val="auto"/>
          <w:sz w:val="26"/>
          <w:szCs w:val="26"/>
        </w:rPr>
        <w:t>индексация оплаты труда работников бюджетной сферы, не подпадающих под действие «программных» указов Президента Российской Федерации.</w:t>
      </w:r>
    </w:p>
    <w:p w:rsidR="00CC224B" w:rsidRPr="00433AAE" w:rsidRDefault="00CC224B" w:rsidP="00CC224B">
      <w:pPr>
        <w:pStyle w:val="Default"/>
        <w:ind w:firstLine="708"/>
        <w:jc w:val="right"/>
        <w:rPr>
          <w:color w:val="auto"/>
          <w:sz w:val="26"/>
          <w:szCs w:val="26"/>
        </w:rPr>
      </w:pPr>
      <w:r w:rsidRPr="00433AAE">
        <w:rPr>
          <w:color w:val="auto"/>
          <w:sz w:val="26"/>
          <w:szCs w:val="26"/>
        </w:rPr>
        <w:t>Таблица 4</w:t>
      </w:r>
    </w:p>
    <w:p w:rsidR="00CC224B" w:rsidRPr="00433AAE" w:rsidRDefault="00CC224B" w:rsidP="00CC224B">
      <w:pPr>
        <w:pStyle w:val="Default"/>
        <w:ind w:firstLine="708"/>
        <w:jc w:val="center"/>
        <w:rPr>
          <w:color w:val="auto"/>
          <w:sz w:val="26"/>
          <w:szCs w:val="26"/>
        </w:rPr>
      </w:pPr>
      <w:r w:rsidRPr="00433AAE">
        <w:rPr>
          <w:color w:val="auto"/>
          <w:sz w:val="26"/>
          <w:szCs w:val="26"/>
        </w:rPr>
        <w:t>Основные показатели, характеризующие уровень жизни населения</w:t>
      </w:r>
    </w:p>
    <w:p w:rsidR="00CC224B" w:rsidRPr="00433AAE" w:rsidRDefault="00CC224B" w:rsidP="00CC224B">
      <w:pPr>
        <w:pStyle w:val="Default"/>
        <w:ind w:firstLine="708"/>
        <w:jc w:val="center"/>
        <w:rPr>
          <w:color w:val="auto"/>
          <w:sz w:val="26"/>
          <w:szCs w:val="26"/>
        </w:rPr>
      </w:pPr>
    </w:p>
    <w:tbl>
      <w:tblPr>
        <w:tblStyle w:val="ad"/>
        <w:tblW w:w="9479" w:type="dxa"/>
        <w:tblLook w:val="04A0" w:firstRow="1" w:lastRow="0" w:firstColumn="1" w:lastColumn="0" w:noHBand="0" w:noVBand="1"/>
      </w:tblPr>
      <w:tblGrid>
        <w:gridCol w:w="4219"/>
        <w:gridCol w:w="2835"/>
        <w:gridCol w:w="1134"/>
        <w:gridCol w:w="1291"/>
      </w:tblGrid>
      <w:tr w:rsidR="00CC224B" w:rsidRPr="00433AAE" w:rsidTr="00CC224B">
        <w:trPr>
          <w:tblHeader/>
        </w:trPr>
        <w:tc>
          <w:tcPr>
            <w:tcW w:w="4219" w:type="dxa"/>
            <w:vMerge w:val="restart"/>
            <w:shd w:val="clear" w:color="auto" w:fill="auto"/>
            <w:vAlign w:val="center"/>
          </w:tcPr>
          <w:p w:rsidR="00CC224B" w:rsidRPr="00433AAE" w:rsidRDefault="00CC224B" w:rsidP="00733734">
            <w:pPr>
              <w:pStyle w:val="Default"/>
              <w:jc w:val="center"/>
              <w:rPr>
                <w:color w:val="auto"/>
              </w:rPr>
            </w:pPr>
            <w:r w:rsidRPr="00433AAE">
              <w:rPr>
                <w:color w:val="auto"/>
              </w:rPr>
              <w:t xml:space="preserve">Показатель 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CC224B" w:rsidRPr="00433AAE" w:rsidRDefault="00CC224B" w:rsidP="00733734">
            <w:pPr>
              <w:pStyle w:val="Default"/>
              <w:jc w:val="center"/>
              <w:rPr>
                <w:color w:val="auto"/>
              </w:rPr>
            </w:pPr>
            <w:r w:rsidRPr="00433AAE">
              <w:rPr>
                <w:color w:val="auto"/>
              </w:rPr>
              <w:t>Единица измерения</w:t>
            </w:r>
          </w:p>
        </w:tc>
        <w:tc>
          <w:tcPr>
            <w:tcW w:w="2425" w:type="dxa"/>
            <w:gridSpan w:val="2"/>
            <w:shd w:val="clear" w:color="auto" w:fill="auto"/>
            <w:vAlign w:val="center"/>
          </w:tcPr>
          <w:p w:rsidR="00CC224B" w:rsidRPr="00433AAE" w:rsidRDefault="00CC224B" w:rsidP="00733734">
            <w:pPr>
              <w:pStyle w:val="Default"/>
              <w:jc w:val="center"/>
              <w:rPr>
                <w:color w:val="auto"/>
              </w:rPr>
            </w:pPr>
            <w:r w:rsidRPr="00433AAE">
              <w:rPr>
                <w:color w:val="auto"/>
              </w:rPr>
              <w:t>Январь-июнь</w:t>
            </w:r>
          </w:p>
        </w:tc>
      </w:tr>
      <w:tr w:rsidR="00CC224B" w:rsidRPr="00433AAE" w:rsidTr="00CC224B">
        <w:trPr>
          <w:tblHeader/>
        </w:trPr>
        <w:tc>
          <w:tcPr>
            <w:tcW w:w="4219" w:type="dxa"/>
            <w:vMerge/>
            <w:shd w:val="clear" w:color="auto" w:fill="auto"/>
            <w:vAlign w:val="center"/>
          </w:tcPr>
          <w:p w:rsidR="00CC224B" w:rsidRPr="00433AAE" w:rsidRDefault="00CC224B" w:rsidP="00733734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CC224B" w:rsidRPr="00433AAE" w:rsidRDefault="00CC224B" w:rsidP="00733734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C224B" w:rsidRPr="00433AAE" w:rsidRDefault="00CC224B" w:rsidP="00733734">
            <w:pPr>
              <w:pStyle w:val="Default"/>
              <w:jc w:val="center"/>
              <w:rPr>
                <w:color w:val="auto"/>
              </w:rPr>
            </w:pPr>
            <w:r w:rsidRPr="00433AAE">
              <w:rPr>
                <w:color w:val="auto"/>
              </w:rPr>
              <w:t>2018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CC224B" w:rsidRPr="00433AAE" w:rsidRDefault="00CC224B" w:rsidP="00733734">
            <w:pPr>
              <w:pStyle w:val="Default"/>
              <w:jc w:val="center"/>
              <w:rPr>
                <w:color w:val="auto"/>
              </w:rPr>
            </w:pPr>
            <w:r w:rsidRPr="00433AAE">
              <w:rPr>
                <w:color w:val="auto"/>
              </w:rPr>
              <w:t>2019</w:t>
            </w:r>
          </w:p>
        </w:tc>
      </w:tr>
      <w:tr w:rsidR="00CC224B" w:rsidRPr="00CC224B" w:rsidTr="00CC224B">
        <w:trPr>
          <w:trHeight w:val="520"/>
        </w:trPr>
        <w:tc>
          <w:tcPr>
            <w:tcW w:w="4219" w:type="dxa"/>
            <w:vMerge w:val="restart"/>
            <w:shd w:val="clear" w:color="auto" w:fill="auto"/>
            <w:vAlign w:val="center"/>
          </w:tcPr>
          <w:p w:rsidR="00CC224B" w:rsidRPr="00CC224B" w:rsidRDefault="00CC224B" w:rsidP="00733734">
            <w:pPr>
              <w:pStyle w:val="Default"/>
              <w:jc w:val="both"/>
              <w:rPr>
                <w:color w:val="auto"/>
              </w:rPr>
            </w:pPr>
            <w:r w:rsidRPr="00CC224B">
              <w:rPr>
                <w:color w:val="auto"/>
              </w:rPr>
              <w:t>Среднедушевые денежные доходы населения (в месяц)</w:t>
            </w:r>
          </w:p>
        </w:tc>
        <w:tc>
          <w:tcPr>
            <w:tcW w:w="2835" w:type="dxa"/>
            <w:shd w:val="clear" w:color="auto" w:fill="auto"/>
          </w:tcPr>
          <w:p w:rsidR="00CC224B" w:rsidRPr="00CC224B" w:rsidRDefault="00CC224B" w:rsidP="00733734">
            <w:pPr>
              <w:pStyle w:val="Default"/>
              <w:jc w:val="center"/>
              <w:rPr>
                <w:color w:val="auto"/>
              </w:rPr>
            </w:pPr>
            <w:r w:rsidRPr="00CC224B">
              <w:rPr>
                <w:color w:val="auto"/>
              </w:rPr>
              <w:t>номинал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224B" w:rsidRPr="00CC224B" w:rsidRDefault="00CC224B" w:rsidP="00733734">
            <w:pPr>
              <w:pStyle w:val="Default"/>
              <w:jc w:val="center"/>
              <w:rPr>
                <w:color w:val="auto"/>
              </w:rPr>
            </w:pPr>
            <w:r w:rsidRPr="00CC224B">
              <w:rPr>
                <w:color w:val="auto"/>
              </w:rPr>
              <w:t>50298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CC224B" w:rsidRPr="00CC224B" w:rsidRDefault="00CC224B" w:rsidP="00733734">
            <w:pPr>
              <w:pStyle w:val="Default"/>
              <w:jc w:val="center"/>
              <w:rPr>
                <w:color w:val="auto"/>
              </w:rPr>
            </w:pPr>
            <w:r w:rsidRPr="00CC224B">
              <w:rPr>
                <w:color w:val="auto"/>
              </w:rPr>
              <w:t>51907</w:t>
            </w:r>
          </w:p>
        </w:tc>
      </w:tr>
      <w:tr w:rsidR="00CC224B" w:rsidRPr="00CC224B" w:rsidTr="00CC224B">
        <w:trPr>
          <w:trHeight w:val="455"/>
        </w:trPr>
        <w:tc>
          <w:tcPr>
            <w:tcW w:w="4219" w:type="dxa"/>
            <w:vMerge/>
            <w:shd w:val="clear" w:color="auto" w:fill="auto"/>
            <w:vAlign w:val="center"/>
          </w:tcPr>
          <w:p w:rsidR="00CC224B" w:rsidRPr="00CC224B" w:rsidRDefault="00CC224B" w:rsidP="00733734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2835" w:type="dxa"/>
            <w:shd w:val="clear" w:color="auto" w:fill="auto"/>
          </w:tcPr>
          <w:p w:rsidR="00CC224B" w:rsidRPr="00CC224B" w:rsidRDefault="00CC224B" w:rsidP="00733734">
            <w:pPr>
              <w:pStyle w:val="Default"/>
              <w:jc w:val="center"/>
              <w:rPr>
                <w:color w:val="auto"/>
              </w:rPr>
            </w:pPr>
            <w:r w:rsidRPr="00CC224B">
              <w:rPr>
                <w:color w:val="auto"/>
              </w:rPr>
              <w:t>в % к предыдущему году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224B" w:rsidRPr="00CC224B" w:rsidRDefault="00CC224B" w:rsidP="00733734">
            <w:pPr>
              <w:pStyle w:val="Default"/>
              <w:jc w:val="center"/>
              <w:rPr>
                <w:color w:val="auto"/>
              </w:rPr>
            </w:pPr>
            <w:r w:rsidRPr="00CC224B">
              <w:rPr>
                <w:color w:val="auto"/>
              </w:rPr>
              <w:t>х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CC224B" w:rsidRPr="00CC224B" w:rsidRDefault="00CC224B" w:rsidP="00733734">
            <w:pPr>
              <w:pStyle w:val="Default"/>
              <w:jc w:val="center"/>
              <w:rPr>
                <w:color w:val="auto"/>
              </w:rPr>
            </w:pPr>
            <w:r w:rsidRPr="00CC224B">
              <w:rPr>
                <w:color w:val="auto"/>
              </w:rPr>
              <w:t>103,2</w:t>
            </w:r>
          </w:p>
        </w:tc>
      </w:tr>
      <w:tr w:rsidR="00CC224B" w:rsidRPr="00CC224B" w:rsidTr="00CC224B">
        <w:tc>
          <w:tcPr>
            <w:tcW w:w="4219" w:type="dxa"/>
            <w:shd w:val="clear" w:color="auto" w:fill="auto"/>
            <w:vAlign w:val="center"/>
          </w:tcPr>
          <w:p w:rsidR="00CC224B" w:rsidRPr="00CC224B" w:rsidRDefault="00CC224B" w:rsidP="00CC224B">
            <w:pPr>
              <w:pStyle w:val="Default"/>
              <w:jc w:val="both"/>
              <w:rPr>
                <w:color w:val="auto"/>
              </w:rPr>
            </w:pPr>
            <w:r w:rsidRPr="00CC224B">
              <w:rPr>
                <w:color w:val="auto"/>
              </w:rPr>
              <w:t>Реальные денежные доходы населения</w:t>
            </w:r>
            <w:r w:rsidRPr="00CC224B">
              <w:rPr>
                <w:rStyle w:val="a8"/>
                <w:color w:val="auto"/>
              </w:rPr>
              <w:footnoteReference w:id="25"/>
            </w:r>
          </w:p>
        </w:tc>
        <w:tc>
          <w:tcPr>
            <w:tcW w:w="2835" w:type="dxa"/>
            <w:shd w:val="clear" w:color="auto" w:fill="auto"/>
          </w:tcPr>
          <w:p w:rsidR="00CC224B" w:rsidRPr="00CC224B" w:rsidRDefault="00CC224B" w:rsidP="00733734">
            <w:pPr>
              <w:pStyle w:val="Default"/>
              <w:jc w:val="center"/>
              <w:rPr>
                <w:color w:val="auto"/>
              </w:rPr>
            </w:pPr>
            <w:r w:rsidRPr="00CC224B">
              <w:rPr>
                <w:color w:val="auto"/>
              </w:rPr>
              <w:t>в % к предыдущему году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224B" w:rsidRPr="00CC224B" w:rsidRDefault="00CC224B" w:rsidP="00733734">
            <w:pPr>
              <w:pStyle w:val="Default"/>
              <w:jc w:val="center"/>
              <w:rPr>
                <w:color w:val="auto"/>
              </w:rPr>
            </w:pPr>
            <w:r w:rsidRPr="00CC224B">
              <w:rPr>
                <w:color w:val="auto"/>
              </w:rPr>
              <w:t>х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CC224B" w:rsidRPr="00CC224B" w:rsidRDefault="00CC224B" w:rsidP="00733734">
            <w:pPr>
              <w:pStyle w:val="Default"/>
              <w:jc w:val="center"/>
              <w:rPr>
                <w:color w:val="auto"/>
              </w:rPr>
            </w:pPr>
            <w:r w:rsidRPr="00CC224B">
              <w:rPr>
                <w:color w:val="auto"/>
              </w:rPr>
              <w:t>100,5</w:t>
            </w:r>
          </w:p>
        </w:tc>
      </w:tr>
      <w:tr w:rsidR="00CC224B" w:rsidRPr="00CC224B" w:rsidTr="00CC224B">
        <w:tc>
          <w:tcPr>
            <w:tcW w:w="4219" w:type="dxa"/>
            <w:vMerge w:val="restart"/>
            <w:shd w:val="clear" w:color="auto" w:fill="auto"/>
            <w:vAlign w:val="center"/>
          </w:tcPr>
          <w:p w:rsidR="00CC224B" w:rsidRPr="00CC224B" w:rsidRDefault="00CC224B" w:rsidP="00733734">
            <w:pPr>
              <w:pStyle w:val="Default"/>
              <w:jc w:val="both"/>
              <w:rPr>
                <w:color w:val="auto"/>
              </w:rPr>
            </w:pPr>
            <w:r w:rsidRPr="00CC224B">
              <w:rPr>
                <w:color w:val="auto"/>
              </w:rPr>
              <w:t>Среднемесячная номинальная начисленная заработная плата 1 работника</w:t>
            </w:r>
          </w:p>
        </w:tc>
        <w:tc>
          <w:tcPr>
            <w:tcW w:w="2835" w:type="dxa"/>
            <w:shd w:val="clear" w:color="auto" w:fill="auto"/>
          </w:tcPr>
          <w:p w:rsidR="00CC224B" w:rsidRPr="00CC224B" w:rsidRDefault="00CC224B" w:rsidP="00733734">
            <w:pPr>
              <w:pStyle w:val="Default"/>
              <w:jc w:val="center"/>
              <w:rPr>
                <w:color w:val="auto"/>
              </w:rPr>
            </w:pPr>
            <w:r w:rsidRPr="00CC224B">
              <w:rPr>
                <w:color w:val="auto"/>
              </w:rPr>
              <w:t>номинал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224B" w:rsidRPr="00CC224B" w:rsidRDefault="00CC224B" w:rsidP="00733734">
            <w:pPr>
              <w:pStyle w:val="Default"/>
              <w:jc w:val="center"/>
              <w:rPr>
                <w:color w:val="auto"/>
              </w:rPr>
            </w:pPr>
            <w:r w:rsidRPr="00CC224B">
              <w:rPr>
                <w:color w:val="auto"/>
              </w:rPr>
              <w:t>70359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CC224B" w:rsidRPr="00CC224B" w:rsidRDefault="00CC224B" w:rsidP="00733734">
            <w:pPr>
              <w:pStyle w:val="Default"/>
              <w:jc w:val="center"/>
              <w:rPr>
                <w:color w:val="auto"/>
              </w:rPr>
            </w:pPr>
            <w:r w:rsidRPr="00CC224B">
              <w:rPr>
                <w:color w:val="auto"/>
              </w:rPr>
              <w:t>73697</w:t>
            </w:r>
          </w:p>
        </w:tc>
      </w:tr>
      <w:tr w:rsidR="00CC224B" w:rsidRPr="00CC224B" w:rsidTr="00CC224B">
        <w:tc>
          <w:tcPr>
            <w:tcW w:w="4219" w:type="dxa"/>
            <w:vMerge/>
            <w:shd w:val="clear" w:color="auto" w:fill="auto"/>
            <w:vAlign w:val="center"/>
          </w:tcPr>
          <w:p w:rsidR="00CC224B" w:rsidRPr="00CC224B" w:rsidRDefault="00CC224B" w:rsidP="00733734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2835" w:type="dxa"/>
            <w:shd w:val="clear" w:color="auto" w:fill="auto"/>
          </w:tcPr>
          <w:p w:rsidR="00CC224B" w:rsidRPr="00CC224B" w:rsidRDefault="00CC224B" w:rsidP="00733734">
            <w:pPr>
              <w:pStyle w:val="Default"/>
              <w:jc w:val="center"/>
              <w:rPr>
                <w:color w:val="auto"/>
              </w:rPr>
            </w:pPr>
            <w:r w:rsidRPr="00CC224B">
              <w:rPr>
                <w:color w:val="auto"/>
              </w:rPr>
              <w:t>в % к предыдущему году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224B" w:rsidRPr="00CC224B" w:rsidRDefault="00CC224B" w:rsidP="00733734">
            <w:pPr>
              <w:pStyle w:val="Default"/>
              <w:jc w:val="center"/>
              <w:rPr>
                <w:color w:val="auto"/>
              </w:rPr>
            </w:pPr>
            <w:r w:rsidRPr="00CC224B">
              <w:rPr>
                <w:color w:val="auto"/>
              </w:rPr>
              <w:t>107,1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CC224B" w:rsidRPr="00CC224B" w:rsidRDefault="00CC224B" w:rsidP="00733734">
            <w:pPr>
              <w:pStyle w:val="Default"/>
              <w:jc w:val="center"/>
              <w:rPr>
                <w:color w:val="auto"/>
              </w:rPr>
            </w:pPr>
            <w:r w:rsidRPr="00CC224B">
              <w:rPr>
                <w:color w:val="auto"/>
              </w:rPr>
              <w:t>104,2</w:t>
            </w:r>
          </w:p>
        </w:tc>
      </w:tr>
      <w:tr w:rsidR="00CC224B" w:rsidRPr="00CC224B" w:rsidTr="00CC224B">
        <w:tc>
          <w:tcPr>
            <w:tcW w:w="4219" w:type="dxa"/>
            <w:shd w:val="clear" w:color="auto" w:fill="auto"/>
            <w:vAlign w:val="center"/>
          </w:tcPr>
          <w:p w:rsidR="00CC224B" w:rsidRPr="00CC224B" w:rsidRDefault="00CC224B" w:rsidP="00733734">
            <w:pPr>
              <w:pStyle w:val="Default"/>
              <w:jc w:val="both"/>
              <w:rPr>
                <w:color w:val="auto"/>
              </w:rPr>
            </w:pPr>
            <w:r w:rsidRPr="00CC224B">
              <w:rPr>
                <w:color w:val="auto"/>
              </w:rPr>
              <w:t>Реальная заработная плата 1 работника</w:t>
            </w:r>
          </w:p>
        </w:tc>
        <w:tc>
          <w:tcPr>
            <w:tcW w:w="2835" w:type="dxa"/>
            <w:shd w:val="clear" w:color="auto" w:fill="auto"/>
          </w:tcPr>
          <w:p w:rsidR="00CC224B" w:rsidRPr="00CC224B" w:rsidRDefault="00CC224B" w:rsidP="00733734">
            <w:pPr>
              <w:pStyle w:val="Default"/>
              <w:jc w:val="center"/>
              <w:rPr>
                <w:color w:val="auto"/>
              </w:rPr>
            </w:pPr>
            <w:r w:rsidRPr="00CC224B">
              <w:rPr>
                <w:color w:val="auto"/>
              </w:rPr>
              <w:t>в % к предыдущему году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224B" w:rsidRPr="00CC224B" w:rsidRDefault="00CC224B" w:rsidP="00733734">
            <w:pPr>
              <w:pStyle w:val="Default"/>
              <w:jc w:val="center"/>
              <w:rPr>
                <w:color w:val="auto"/>
              </w:rPr>
            </w:pPr>
            <w:r w:rsidRPr="00CC224B">
              <w:rPr>
                <w:color w:val="auto"/>
              </w:rPr>
              <w:t>104,4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CC224B" w:rsidRPr="00CC224B" w:rsidRDefault="00CC224B" w:rsidP="00733734">
            <w:pPr>
              <w:pStyle w:val="Default"/>
              <w:jc w:val="center"/>
              <w:rPr>
                <w:color w:val="auto"/>
              </w:rPr>
            </w:pPr>
            <w:r w:rsidRPr="00CC224B">
              <w:rPr>
                <w:color w:val="auto"/>
              </w:rPr>
              <w:t>101,0</w:t>
            </w:r>
          </w:p>
        </w:tc>
      </w:tr>
      <w:tr w:rsidR="00CC224B" w:rsidRPr="00433AAE" w:rsidTr="00CC224B">
        <w:tc>
          <w:tcPr>
            <w:tcW w:w="4219" w:type="dxa"/>
            <w:vMerge w:val="restart"/>
            <w:shd w:val="clear" w:color="auto" w:fill="auto"/>
            <w:vAlign w:val="center"/>
          </w:tcPr>
          <w:p w:rsidR="00CC224B" w:rsidRPr="00CC224B" w:rsidRDefault="00CC224B" w:rsidP="00733734">
            <w:pPr>
              <w:pStyle w:val="Default"/>
              <w:jc w:val="both"/>
              <w:rPr>
                <w:color w:val="auto"/>
              </w:rPr>
            </w:pPr>
            <w:r w:rsidRPr="00CC224B">
              <w:rPr>
                <w:color w:val="auto"/>
              </w:rPr>
              <w:t>Средний размер дохода пенсионера (с учетом дополнительной пенсии из средств бюджета автономного округа)</w:t>
            </w:r>
            <w:r w:rsidRPr="00CC224B">
              <w:rPr>
                <w:rStyle w:val="a8"/>
                <w:color w:val="auto"/>
              </w:rPr>
              <w:footnoteReference w:id="26"/>
            </w:r>
          </w:p>
        </w:tc>
        <w:tc>
          <w:tcPr>
            <w:tcW w:w="2835" w:type="dxa"/>
            <w:shd w:val="clear" w:color="auto" w:fill="auto"/>
          </w:tcPr>
          <w:p w:rsidR="00CC224B" w:rsidRPr="00CC224B" w:rsidRDefault="00CC224B" w:rsidP="00733734">
            <w:pPr>
              <w:pStyle w:val="Default"/>
              <w:jc w:val="center"/>
              <w:rPr>
                <w:color w:val="auto"/>
              </w:rPr>
            </w:pPr>
            <w:r w:rsidRPr="00CC224B">
              <w:rPr>
                <w:color w:val="auto"/>
              </w:rPr>
              <w:t>номинал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224B" w:rsidRPr="00CC224B" w:rsidRDefault="00CC224B" w:rsidP="00733734">
            <w:pPr>
              <w:pStyle w:val="Default"/>
              <w:jc w:val="center"/>
              <w:rPr>
                <w:color w:val="auto"/>
              </w:rPr>
            </w:pPr>
            <w:r w:rsidRPr="00CC224B">
              <w:rPr>
                <w:color w:val="auto"/>
              </w:rPr>
              <w:t>20360,1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CC224B" w:rsidRPr="00433AAE" w:rsidRDefault="00CC224B" w:rsidP="00733734">
            <w:pPr>
              <w:pStyle w:val="Default"/>
              <w:jc w:val="center"/>
              <w:rPr>
                <w:color w:val="auto"/>
              </w:rPr>
            </w:pPr>
            <w:r w:rsidRPr="00CC224B">
              <w:rPr>
                <w:color w:val="auto"/>
              </w:rPr>
              <w:t>21321,3</w:t>
            </w:r>
          </w:p>
        </w:tc>
      </w:tr>
      <w:tr w:rsidR="00CC224B" w:rsidRPr="00433AAE" w:rsidTr="00CC224B">
        <w:tc>
          <w:tcPr>
            <w:tcW w:w="4219" w:type="dxa"/>
            <w:vMerge/>
            <w:shd w:val="clear" w:color="auto" w:fill="auto"/>
            <w:vAlign w:val="center"/>
          </w:tcPr>
          <w:p w:rsidR="00CC224B" w:rsidRPr="00433AAE" w:rsidRDefault="00CC224B" w:rsidP="00733734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2835" w:type="dxa"/>
            <w:shd w:val="clear" w:color="auto" w:fill="auto"/>
          </w:tcPr>
          <w:p w:rsidR="00CC224B" w:rsidRPr="00433AAE" w:rsidRDefault="00CC224B" w:rsidP="00733734">
            <w:pPr>
              <w:pStyle w:val="Default"/>
              <w:jc w:val="center"/>
              <w:rPr>
                <w:color w:val="auto"/>
              </w:rPr>
            </w:pPr>
            <w:r w:rsidRPr="00433AAE">
              <w:rPr>
                <w:color w:val="auto"/>
              </w:rPr>
              <w:t>в % к предыдущему году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224B" w:rsidRPr="00433AAE" w:rsidRDefault="00CC224B" w:rsidP="00733734">
            <w:pPr>
              <w:pStyle w:val="Default"/>
              <w:jc w:val="center"/>
              <w:rPr>
                <w:color w:val="auto"/>
              </w:rPr>
            </w:pPr>
            <w:r w:rsidRPr="00433AAE">
              <w:rPr>
                <w:color w:val="auto"/>
              </w:rPr>
              <w:t>102,5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CC224B" w:rsidRPr="00433AAE" w:rsidRDefault="00CC224B" w:rsidP="00733734">
            <w:pPr>
              <w:pStyle w:val="Default"/>
              <w:jc w:val="center"/>
              <w:rPr>
                <w:color w:val="auto"/>
              </w:rPr>
            </w:pPr>
            <w:r w:rsidRPr="00433AAE">
              <w:rPr>
                <w:color w:val="auto"/>
              </w:rPr>
              <w:t>104,7</w:t>
            </w:r>
          </w:p>
        </w:tc>
      </w:tr>
      <w:tr w:rsidR="00CC224B" w:rsidRPr="00433AAE" w:rsidTr="00CC224B">
        <w:trPr>
          <w:trHeight w:val="650"/>
        </w:trPr>
        <w:tc>
          <w:tcPr>
            <w:tcW w:w="4219" w:type="dxa"/>
            <w:shd w:val="clear" w:color="auto" w:fill="auto"/>
            <w:vAlign w:val="center"/>
          </w:tcPr>
          <w:p w:rsidR="00CC224B" w:rsidRPr="00433AAE" w:rsidRDefault="00CC224B" w:rsidP="00733734">
            <w:pPr>
              <w:pStyle w:val="Default"/>
              <w:jc w:val="both"/>
              <w:rPr>
                <w:color w:val="auto"/>
              </w:rPr>
            </w:pPr>
            <w:r w:rsidRPr="00433AAE">
              <w:rPr>
                <w:color w:val="auto"/>
              </w:rPr>
              <w:t>Реальный размер дохода пенсионера</w:t>
            </w:r>
            <w:r w:rsidRPr="00433AAE">
              <w:rPr>
                <w:rStyle w:val="a8"/>
                <w:color w:val="auto"/>
              </w:rPr>
              <w:footnoteReference w:id="27"/>
            </w:r>
          </w:p>
        </w:tc>
        <w:tc>
          <w:tcPr>
            <w:tcW w:w="2835" w:type="dxa"/>
            <w:shd w:val="clear" w:color="auto" w:fill="auto"/>
          </w:tcPr>
          <w:p w:rsidR="00CC224B" w:rsidRPr="00433AAE" w:rsidRDefault="00CC224B" w:rsidP="00733734">
            <w:pPr>
              <w:pStyle w:val="Default"/>
              <w:jc w:val="center"/>
              <w:rPr>
                <w:color w:val="auto"/>
              </w:rPr>
            </w:pPr>
            <w:r w:rsidRPr="00433AAE">
              <w:rPr>
                <w:color w:val="auto"/>
              </w:rPr>
              <w:t>в % к предыдущему году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224B" w:rsidRPr="00433AAE" w:rsidRDefault="00CC224B" w:rsidP="00733734">
            <w:pPr>
              <w:pStyle w:val="Default"/>
              <w:jc w:val="center"/>
              <w:rPr>
                <w:color w:val="auto"/>
              </w:rPr>
            </w:pPr>
            <w:r w:rsidRPr="00433AAE">
              <w:rPr>
                <w:color w:val="auto"/>
              </w:rPr>
              <w:t>99,9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CC224B" w:rsidRPr="00433AAE" w:rsidRDefault="00CC224B" w:rsidP="00733734">
            <w:pPr>
              <w:pStyle w:val="Default"/>
              <w:jc w:val="center"/>
              <w:rPr>
                <w:color w:val="auto"/>
              </w:rPr>
            </w:pPr>
            <w:r w:rsidRPr="00433AAE">
              <w:rPr>
                <w:color w:val="auto"/>
              </w:rPr>
              <w:t>101,5</w:t>
            </w:r>
          </w:p>
        </w:tc>
      </w:tr>
    </w:tbl>
    <w:p w:rsidR="00CC224B" w:rsidRPr="00433AAE" w:rsidRDefault="00CC224B" w:rsidP="00CC224B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CC224B" w:rsidRPr="00CC224B" w:rsidRDefault="00CC224B" w:rsidP="00CC224B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CC224B">
        <w:rPr>
          <w:color w:val="auto"/>
          <w:sz w:val="26"/>
          <w:szCs w:val="26"/>
        </w:rPr>
        <w:lastRenderedPageBreak/>
        <w:t xml:space="preserve">Среднемесячная номинальная начисленная заработная плата 1 работника по полному кругу предприятий автономного округа за январь-июнь 2019 года к соответствующему периоду 2018 года увеличилась на 4,2 % (по РФ – на 7,0 %) и составила 73697 рублей. Реальная заработная плата работников – 101,0 %. </w:t>
      </w:r>
    </w:p>
    <w:p w:rsidR="00CC224B" w:rsidRPr="00A20E22" w:rsidRDefault="00CC224B" w:rsidP="00CC224B">
      <w:pPr>
        <w:pStyle w:val="Default"/>
        <w:ind w:firstLine="708"/>
        <w:jc w:val="both"/>
        <w:rPr>
          <w:color w:val="auto"/>
          <w:sz w:val="26"/>
          <w:szCs w:val="26"/>
        </w:rPr>
      </w:pPr>
      <w:proofErr w:type="gramStart"/>
      <w:r w:rsidRPr="00CC224B">
        <w:rPr>
          <w:color w:val="auto"/>
          <w:sz w:val="26"/>
          <w:szCs w:val="26"/>
        </w:rPr>
        <w:t>Наибольшие темпы роста заработной платы по сравнению с январем-июнем 2018 года отмечены по следующим видам деятельности: водоснабжение, водоотведение, организация сбора и утилизации отходов, деятельность по ликвидации загрязнений – на 13,2 %,  торговля оптовая и розничная, ремонт автотранспортных средств и мотоциклов – на 10,0 %, деятельность финансовая и страховая – 9,1 %, деятельность профессиональная, научная и техническая – 8,2 %.</w:t>
      </w:r>
      <w:proofErr w:type="gramEnd"/>
    </w:p>
    <w:p w:rsidR="00CC224B" w:rsidRPr="00A20E22" w:rsidRDefault="00CC224B" w:rsidP="00CC224B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CC224B" w:rsidRPr="00A20E22" w:rsidRDefault="00CC224B" w:rsidP="00CC224B">
      <w:pPr>
        <w:widowControl w:val="0"/>
        <w:ind w:firstLine="708"/>
        <w:jc w:val="right"/>
        <w:rPr>
          <w:sz w:val="26"/>
          <w:szCs w:val="26"/>
        </w:rPr>
      </w:pPr>
      <w:r w:rsidRPr="00A20E22">
        <w:rPr>
          <w:sz w:val="26"/>
          <w:szCs w:val="26"/>
        </w:rPr>
        <w:t>Таблица 5</w:t>
      </w:r>
    </w:p>
    <w:p w:rsidR="00CC224B" w:rsidRPr="00A20E22" w:rsidRDefault="00CC224B" w:rsidP="00CC224B">
      <w:pPr>
        <w:widowControl w:val="0"/>
        <w:jc w:val="center"/>
        <w:rPr>
          <w:sz w:val="26"/>
          <w:szCs w:val="26"/>
        </w:rPr>
      </w:pPr>
      <w:r w:rsidRPr="00A20E22">
        <w:rPr>
          <w:sz w:val="26"/>
          <w:szCs w:val="26"/>
        </w:rPr>
        <w:t>Средняя заработная плата одного работника (начисленная) по основным видам</w:t>
      </w:r>
    </w:p>
    <w:p w:rsidR="00CC224B" w:rsidRPr="00A20E22" w:rsidRDefault="00CC224B" w:rsidP="00CC224B">
      <w:pPr>
        <w:widowControl w:val="0"/>
        <w:jc w:val="center"/>
        <w:rPr>
          <w:sz w:val="26"/>
          <w:szCs w:val="26"/>
        </w:rPr>
      </w:pPr>
      <w:r w:rsidRPr="00A20E22">
        <w:rPr>
          <w:sz w:val="26"/>
          <w:szCs w:val="26"/>
        </w:rPr>
        <w:t>экономической деятельности</w:t>
      </w:r>
    </w:p>
    <w:p w:rsidR="00CC224B" w:rsidRPr="00A20E22" w:rsidRDefault="00CC224B" w:rsidP="00CC224B">
      <w:pPr>
        <w:widowControl w:val="0"/>
        <w:ind w:firstLine="708"/>
        <w:jc w:val="right"/>
        <w:rPr>
          <w:sz w:val="26"/>
          <w:szCs w:val="26"/>
        </w:rPr>
      </w:pPr>
      <w:r w:rsidRPr="00A20E22">
        <w:rPr>
          <w:sz w:val="26"/>
          <w:szCs w:val="26"/>
        </w:rPr>
        <w:t>рублей</w:t>
      </w:r>
    </w:p>
    <w:tbl>
      <w:tblPr>
        <w:tblW w:w="49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02"/>
        <w:gridCol w:w="1453"/>
        <w:gridCol w:w="2268"/>
      </w:tblGrid>
      <w:tr w:rsidR="00CC224B" w:rsidRPr="00CC224B" w:rsidTr="00733734">
        <w:trPr>
          <w:tblHeader/>
        </w:trPr>
        <w:tc>
          <w:tcPr>
            <w:tcW w:w="3046" w:type="pct"/>
            <w:shd w:val="clear" w:color="auto" w:fill="auto"/>
            <w:vAlign w:val="center"/>
            <w:hideMark/>
          </w:tcPr>
          <w:p w:rsidR="00CC224B" w:rsidRPr="00CC224B" w:rsidRDefault="00CC224B" w:rsidP="00733734">
            <w:pPr>
              <w:jc w:val="center"/>
              <w:rPr>
                <w:sz w:val="24"/>
                <w:szCs w:val="24"/>
              </w:rPr>
            </w:pPr>
            <w:r w:rsidRPr="00CC224B">
              <w:rPr>
                <w:sz w:val="24"/>
                <w:szCs w:val="24"/>
              </w:rPr>
              <w:t>Показатели</w:t>
            </w:r>
          </w:p>
        </w:tc>
        <w:tc>
          <w:tcPr>
            <w:tcW w:w="763" w:type="pct"/>
            <w:shd w:val="clear" w:color="auto" w:fill="auto"/>
            <w:vAlign w:val="center"/>
            <w:hideMark/>
          </w:tcPr>
          <w:p w:rsidR="00CC224B" w:rsidRPr="00CC224B" w:rsidRDefault="00CC224B" w:rsidP="00733734">
            <w:pPr>
              <w:jc w:val="center"/>
              <w:rPr>
                <w:sz w:val="24"/>
                <w:szCs w:val="24"/>
              </w:rPr>
            </w:pPr>
            <w:r w:rsidRPr="00CC224B">
              <w:rPr>
                <w:sz w:val="24"/>
                <w:szCs w:val="24"/>
              </w:rPr>
              <w:t>Январь-июнь</w:t>
            </w:r>
          </w:p>
          <w:p w:rsidR="00CC224B" w:rsidRPr="00CC224B" w:rsidRDefault="00CC224B" w:rsidP="00733734">
            <w:pPr>
              <w:jc w:val="center"/>
              <w:rPr>
                <w:sz w:val="24"/>
                <w:szCs w:val="24"/>
              </w:rPr>
            </w:pPr>
            <w:r w:rsidRPr="00CC224B">
              <w:rPr>
                <w:sz w:val="24"/>
                <w:szCs w:val="24"/>
              </w:rPr>
              <w:t xml:space="preserve"> 2019 года</w:t>
            </w:r>
          </w:p>
        </w:tc>
        <w:tc>
          <w:tcPr>
            <w:tcW w:w="1191" w:type="pct"/>
            <w:shd w:val="clear" w:color="auto" w:fill="auto"/>
            <w:noWrap/>
            <w:vAlign w:val="center"/>
            <w:hideMark/>
          </w:tcPr>
          <w:p w:rsidR="00CC224B" w:rsidRPr="00CC224B" w:rsidRDefault="00CC224B" w:rsidP="00733734">
            <w:pPr>
              <w:jc w:val="center"/>
              <w:rPr>
                <w:sz w:val="24"/>
                <w:szCs w:val="24"/>
              </w:rPr>
            </w:pPr>
            <w:r w:rsidRPr="00CC224B">
              <w:rPr>
                <w:sz w:val="24"/>
                <w:szCs w:val="24"/>
              </w:rPr>
              <w:t>в % к соответствующему</w:t>
            </w:r>
          </w:p>
          <w:p w:rsidR="00CC224B" w:rsidRPr="00CC224B" w:rsidRDefault="00CC224B" w:rsidP="00733734">
            <w:pPr>
              <w:jc w:val="center"/>
              <w:rPr>
                <w:sz w:val="24"/>
                <w:szCs w:val="24"/>
              </w:rPr>
            </w:pPr>
            <w:r w:rsidRPr="00CC224B">
              <w:rPr>
                <w:sz w:val="24"/>
                <w:szCs w:val="24"/>
              </w:rPr>
              <w:t xml:space="preserve"> периоду предыдущего года</w:t>
            </w:r>
          </w:p>
        </w:tc>
      </w:tr>
      <w:tr w:rsidR="00CC224B" w:rsidRPr="00CC224B" w:rsidTr="00733734">
        <w:tc>
          <w:tcPr>
            <w:tcW w:w="3046" w:type="pct"/>
            <w:shd w:val="clear" w:color="auto" w:fill="auto"/>
            <w:hideMark/>
          </w:tcPr>
          <w:p w:rsidR="00CC224B" w:rsidRPr="00CC224B" w:rsidRDefault="00CC224B" w:rsidP="00733734">
            <w:pPr>
              <w:rPr>
                <w:sz w:val="24"/>
                <w:szCs w:val="24"/>
              </w:rPr>
            </w:pPr>
            <w:r w:rsidRPr="00CC224B">
              <w:rPr>
                <w:sz w:val="24"/>
                <w:szCs w:val="24"/>
              </w:rPr>
              <w:t>Всего</w:t>
            </w:r>
          </w:p>
        </w:tc>
        <w:tc>
          <w:tcPr>
            <w:tcW w:w="763" w:type="pct"/>
            <w:shd w:val="clear" w:color="auto" w:fill="auto"/>
            <w:vAlign w:val="bottom"/>
          </w:tcPr>
          <w:p w:rsidR="00CC224B" w:rsidRPr="00CC224B" w:rsidRDefault="00CC224B" w:rsidP="00733734">
            <w:pPr>
              <w:jc w:val="center"/>
              <w:rPr>
                <w:sz w:val="24"/>
                <w:szCs w:val="24"/>
              </w:rPr>
            </w:pPr>
            <w:r w:rsidRPr="00CC224B">
              <w:rPr>
                <w:snapToGrid w:val="0"/>
                <w:sz w:val="24"/>
                <w:szCs w:val="24"/>
              </w:rPr>
              <w:t xml:space="preserve">73697 </w:t>
            </w:r>
          </w:p>
        </w:tc>
        <w:tc>
          <w:tcPr>
            <w:tcW w:w="1191" w:type="pct"/>
            <w:shd w:val="clear" w:color="auto" w:fill="auto"/>
            <w:noWrap/>
            <w:vAlign w:val="bottom"/>
          </w:tcPr>
          <w:p w:rsidR="00CC224B" w:rsidRPr="00CC224B" w:rsidRDefault="00CC224B" w:rsidP="00733734">
            <w:pPr>
              <w:jc w:val="center"/>
              <w:rPr>
                <w:sz w:val="24"/>
                <w:szCs w:val="24"/>
              </w:rPr>
            </w:pPr>
            <w:r w:rsidRPr="00CC224B">
              <w:rPr>
                <w:snapToGrid w:val="0"/>
                <w:sz w:val="24"/>
                <w:szCs w:val="24"/>
              </w:rPr>
              <w:t xml:space="preserve">104,2  </w:t>
            </w:r>
          </w:p>
        </w:tc>
      </w:tr>
      <w:tr w:rsidR="00CC224B" w:rsidRPr="00CC224B" w:rsidTr="00733734">
        <w:tc>
          <w:tcPr>
            <w:tcW w:w="3046" w:type="pct"/>
            <w:shd w:val="clear" w:color="auto" w:fill="auto"/>
            <w:hideMark/>
          </w:tcPr>
          <w:p w:rsidR="00CC224B" w:rsidRPr="00CC224B" w:rsidRDefault="00CC224B" w:rsidP="00733734">
            <w:pPr>
              <w:rPr>
                <w:sz w:val="24"/>
                <w:szCs w:val="24"/>
              </w:rPr>
            </w:pPr>
            <w:r w:rsidRPr="00CC224B">
              <w:rPr>
                <w:sz w:val="24"/>
                <w:szCs w:val="24"/>
              </w:rPr>
              <w:t xml:space="preserve">сельское, лесное хозяйство, охота, рыболовство и рыбоводство </w:t>
            </w:r>
          </w:p>
        </w:tc>
        <w:tc>
          <w:tcPr>
            <w:tcW w:w="763" w:type="pct"/>
            <w:shd w:val="clear" w:color="auto" w:fill="auto"/>
            <w:vAlign w:val="bottom"/>
          </w:tcPr>
          <w:p w:rsidR="00CC224B" w:rsidRPr="00CC224B" w:rsidRDefault="00CC224B" w:rsidP="00733734">
            <w:pPr>
              <w:jc w:val="center"/>
              <w:rPr>
                <w:sz w:val="24"/>
                <w:szCs w:val="24"/>
              </w:rPr>
            </w:pPr>
            <w:r w:rsidRPr="00CC224B">
              <w:rPr>
                <w:snapToGrid w:val="0"/>
                <w:sz w:val="24"/>
                <w:szCs w:val="24"/>
              </w:rPr>
              <w:t xml:space="preserve">41114 </w:t>
            </w:r>
          </w:p>
        </w:tc>
        <w:tc>
          <w:tcPr>
            <w:tcW w:w="1191" w:type="pct"/>
            <w:shd w:val="clear" w:color="auto" w:fill="auto"/>
            <w:noWrap/>
            <w:vAlign w:val="bottom"/>
          </w:tcPr>
          <w:p w:rsidR="00CC224B" w:rsidRPr="00CC224B" w:rsidRDefault="00CC224B" w:rsidP="00733734">
            <w:pPr>
              <w:jc w:val="center"/>
              <w:rPr>
                <w:sz w:val="24"/>
                <w:szCs w:val="24"/>
              </w:rPr>
            </w:pPr>
            <w:r w:rsidRPr="00CC224B">
              <w:rPr>
                <w:snapToGrid w:val="0"/>
                <w:sz w:val="24"/>
                <w:szCs w:val="24"/>
              </w:rPr>
              <w:t xml:space="preserve">101,8  </w:t>
            </w:r>
          </w:p>
        </w:tc>
      </w:tr>
      <w:tr w:rsidR="00CC224B" w:rsidRPr="00CC224B" w:rsidTr="00733734">
        <w:tc>
          <w:tcPr>
            <w:tcW w:w="3046" w:type="pct"/>
            <w:shd w:val="clear" w:color="auto" w:fill="auto"/>
            <w:hideMark/>
          </w:tcPr>
          <w:p w:rsidR="00CC224B" w:rsidRPr="00CC224B" w:rsidRDefault="00CC224B" w:rsidP="00733734">
            <w:pPr>
              <w:rPr>
                <w:sz w:val="24"/>
                <w:szCs w:val="24"/>
              </w:rPr>
            </w:pPr>
            <w:r w:rsidRPr="00CC224B">
              <w:rPr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763" w:type="pct"/>
            <w:shd w:val="clear" w:color="auto" w:fill="auto"/>
            <w:vAlign w:val="bottom"/>
          </w:tcPr>
          <w:p w:rsidR="00CC224B" w:rsidRPr="00CC224B" w:rsidRDefault="00CC224B" w:rsidP="00733734">
            <w:pPr>
              <w:jc w:val="center"/>
              <w:rPr>
                <w:sz w:val="24"/>
                <w:szCs w:val="24"/>
              </w:rPr>
            </w:pPr>
            <w:r w:rsidRPr="00CC224B">
              <w:rPr>
                <w:sz w:val="24"/>
                <w:szCs w:val="24"/>
              </w:rPr>
              <w:t xml:space="preserve">95860 </w:t>
            </w:r>
          </w:p>
        </w:tc>
        <w:tc>
          <w:tcPr>
            <w:tcW w:w="1191" w:type="pct"/>
            <w:shd w:val="clear" w:color="auto" w:fill="auto"/>
            <w:noWrap/>
            <w:vAlign w:val="bottom"/>
          </w:tcPr>
          <w:p w:rsidR="00CC224B" w:rsidRPr="00CC224B" w:rsidRDefault="00CC224B" w:rsidP="00733734">
            <w:pPr>
              <w:jc w:val="center"/>
              <w:rPr>
                <w:sz w:val="24"/>
                <w:szCs w:val="24"/>
              </w:rPr>
            </w:pPr>
            <w:r w:rsidRPr="00CC224B">
              <w:rPr>
                <w:sz w:val="24"/>
                <w:szCs w:val="24"/>
              </w:rPr>
              <w:t xml:space="preserve">104,3  </w:t>
            </w:r>
          </w:p>
        </w:tc>
      </w:tr>
      <w:tr w:rsidR="00CC224B" w:rsidRPr="00CC224B" w:rsidTr="00733734">
        <w:tc>
          <w:tcPr>
            <w:tcW w:w="3046" w:type="pct"/>
            <w:shd w:val="clear" w:color="auto" w:fill="auto"/>
            <w:hideMark/>
          </w:tcPr>
          <w:p w:rsidR="00CC224B" w:rsidRPr="00CC224B" w:rsidRDefault="00CC224B" w:rsidP="00733734">
            <w:pPr>
              <w:rPr>
                <w:sz w:val="24"/>
                <w:szCs w:val="24"/>
              </w:rPr>
            </w:pPr>
            <w:r w:rsidRPr="00CC224B">
              <w:rPr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763" w:type="pct"/>
            <w:shd w:val="clear" w:color="auto" w:fill="auto"/>
            <w:vAlign w:val="bottom"/>
          </w:tcPr>
          <w:p w:rsidR="00CC224B" w:rsidRPr="00CC224B" w:rsidRDefault="00CC224B" w:rsidP="00733734">
            <w:pPr>
              <w:jc w:val="center"/>
              <w:rPr>
                <w:sz w:val="24"/>
                <w:szCs w:val="24"/>
              </w:rPr>
            </w:pPr>
            <w:r w:rsidRPr="00CC224B">
              <w:rPr>
                <w:sz w:val="24"/>
                <w:szCs w:val="24"/>
              </w:rPr>
              <w:t xml:space="preserve">71535  </w:t>
            </w:r>
          </w:p>
        </w:tc>
        <w:tc>
          <w:tcPr>
            <w:tcW w:w="1191" w:type="pct"/>
            <w:shd w:val="clear" w:color="auto" w:fill="auto"/>
            <w:noWrap/>
            <w:vAlign w:val="bottom"/>
          </w:tcPr>
          <w:p w:rsidR="00CC224B" w:rsidRPr="00CC224B" w:rsidRDefault="00CC224B" w:rsidP="00733734">
            <w:pPr>
              <w:jc w:val="center"/>
              <w:rPr>
                <w:sz w:val="24"/>
                <w:szCs w:val="24"/>
              </w:rPr>
            </w:pPr>
            <w:r w:rsidRPr="00CC224B">
              <w:rPr>
                <w:sz w:val="24"/>
                <w:szCs w:val="24"/>
              </w:rPr>
              <w:t xml:space="preserve">102,6  </w:t>
            </w:r>
          </w:p>
        </w:tc>
      </w:tr>
      <w:tr w:rsidR="00CC224B" w:rsidRPr="00CC224B" w:rsidTr="00733734">
        <w:tc>
          <w:tcPr>
            <w:tcW w:w="3046" w:type="pct"/>
            <w:shd w:val="clear" w:color="auto" w:fill="auto"/>
            <w:hideMark/>
          </w:tcPr>
          <w:p w:rsidR="00CC224B" w:rsidRPr="00CC224B" w:rsidRDefault="00CC224B" w:rsidP="00733734">
            <w:pPr>
              <w:rPr>
                <w:sz w:val="24"/>
                <w:szCs w:val="24"/>
              </w:rPr>
            </w:pPr>
            <w:r w:rsidRPr="00CC224B">
              <w:rPr>
                <w:sz w:val="24"/>
                <w:szCs w:val="24"/>
              </w:rPr>
              <w:t>обеспечение электрической энергией, газом и паром, кондиционирование воздуха</w:t>
            </w:r>
          </w:p>
        </w:tc>
        <w:tc>
          <w:tcPr>
            <w:tcW w:w="763" w:type="pct"/>
            <w:shd w:val="clear" w:color="auto" w:fill="auto"/>
            <w:vAlign w:val="bottom"/>
          </w:tcPr>
          <w:p w:rsidR="00CC224B" w:rsidRPr="00CC224B" w:rsidRDefault="00CC224B" w:rsidP="00733734">
            <w:pPr>
              <w:jc w:val="center"/>
              <w:rPr>
                <w:sz w:val="24"/>
                <w:szCs w:val="24"/>
              </w:rPr>
            </w:pPr>
            <w:r w:rsidRPr="00CC224B">
              <w:rPr>
                <w:sz w:val="24"/>
                <w:szCs w:val="24"/>
              </w:rPr>
              <w:t xml:space="preserve">80352  </w:t>
            </w:r>
          </w:p>
        </w:tc>
        <w:tc>
          <w:tcPr>
            <w:tcW w:w="1191" w:type="pct"/>
            <w:shd w:val="clear" w:color="auto" w:fill="auto"/>
            <w:noWrap/>
            <w:vAlign w:val="bottom"/>
          </w:tcPr>
          <w:p w:rsidR="00CC224B" w:rsidRPr="00CC224B" w:rsidRDefault="00CC224B" w:rsidP="00733734">
            <w:pPr>
              <w:jc w:val="center"/>
              <w:rPr>
                <w:sz w:val="24"/>
                <w:szCs w:val="24"/>
              </w:rPr>
            </w:pPr>
            <w:r w:rsidRPr="00CC224B">
              <w:rPr>
                <w:sz w:val="24"/>
                <w:szCs w:val="24"/>
              </w:rPr>
              <w:t xml:space="preserve">105,3  </w:t>
            </w:r>
          </w:p>
        </w:tc>
      </w:tr>
      <w:tr w:rsidR="00CC224B" w:rsidRPr="00CC224B" w:rsidTr="00733734">
        <w:tc>
          <w:tcPr>
            <w:tcW w:w="3046" w:type="pct"/>
            <w:shd w:val="clear" w:color="auto" w:fill="auto"/>
          </w:tcPr>
          <w:p w:rsidR="00CC224B" w:rsidRPr="00CC224B" w:rsidRDefault="00CC224B" w:rsidP="00733734">
            <w:pPr>
              <w:rPr>
                <w:sz w:val="24"/>
                <w:szCs w:val="24"/>
              </w:rPr>
            </w:pPr>
            <w:r w:rsidRPr="00CC224B">
              <w:rPr>
                <w:sz w:val="24"/>
                <w:szCs w:val="24"/>
              </w:rPr>
              <w:t>водоснабжение,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763" w:type="pct"/>
            <w:shd w:val="clear" w:color="auto" w:fill="auto"/>
            <w:vAlign w:val="bottom"/>
          </w:tcPr>
          <w:p w:rsidR="00CC224B" w:rsidRPr="00CC224B" w:rsidRDefault="00CC224B" w:rsidP="00733734">
            <w:pPr>
              <w:jc w:val="center"/>
              <w:rPr>
                <w:sz w:val="24"/>
                <w:szCs w:val="24"/>
              </w:rPr>
            </w:pPr>
            <w:r w:rsidRPr="00CC224B">
              <w:rPr>
                <w:sz w:val="24"/>
                <w:szCs w:val="24"/>
              </w:rPr>
              <w:t xml:space="preserve">48517  </w:t>
            </w:r>
          </w:p>
        </w:tc>
        <w:tc>
          <w:tcPr>
            <w:tcW w:w="1191" w:type="pct"/>
            <w:shd w:val="clear" w:color="auto" w:fill="auto"/>
            <w:noWrap/>
            <w:vAlign w:val="bottom"/>
          </w:tcPr>
          <w:p w:rsidR="00CC224B" w:rsidRPr="00CC224B" w:rsidRDefault="00CC224B" w:rsidP="00733734">
            <w:pPr>
              <w:jc w:val="center"/>
              <w:rPr>
                <w:sz w:val="24"/>
                <w:szCs w:val="24"/>
              </w:rPr>
            </w:pPr>
            <w:r w:rsidRPr="00CC224B">
              <w:rPr>
                <w:sz w:val="24"/>
                <w:szCs w:val="24"/>
              </w:rPr>
              <w:t xml:space="preserve">113,2  </w:t>
            </w:r>
          </w:p>
        </w:tc>
      </w:tr>
      <w:tr w:rsidR="00CC224B" w:rsidRPr="00CC224B" w:rsidTr="00733734">
        <w:tc>
          <w:tcPr>
            <w:tcW w:w="3046" w:type="pct"/>
            <w:shd w:val="clear" w:color="auto" w:fill="auto"/>
            <w:hideMark/>
          </w:tcPr>
          <w:p w:rsidR="00CC224B" w:rsidRPr="00CC224B" w:rsidRDefault="00CC224B" w:rsidP="00733734">
            <w:pPr>
              <w:rPr>
                <w:sz w:val="24"/>
                <w:szCs w:val="24"/>
              </w:rPr>
            </w:pPr>
            <w:r w:rsidRPr="00CC224B">
              <w:rPr>
                <w:sz w:val="24"/>
                <w:szCs w:val="24"/>
              </w:rPr>
              <w:t xml:space="preserve"> строительство</w:t>
            </w:r>
          </w:p>
        </w:tc>
        <w:tc>
          <w:tcPr>
            <w:tcW w:w="763" w:type="pct"/>
            <w:shd w:val="clear" w:color="auto" w:fill="auto"/>
            <w:vAlign w:val="bottom"/>
          </w:tcPr>
          <w:p w:rsidR="00CC224B" w:rsidRPr="00CC224B" w:rsidRDefault="00CC224B" w:rsidP="00733734">
            <w:pPr>
              <w:jc w:val="center"/>
              <w:rPr>
                <w:sz w:val="24"/>
                <w:szCs w:val="24"/>
              </w:rPr>
            </w:pPr>
            <w:r w:rsidRPr="00CC224B">
              <w:rPr>
                <w:sz w:val="24"/>
                <w:szCs w:val="24"/>
              </w:rPr>
              <w:t xml:space="preserve">56110  </w:t>
            </w:r>
          </w:p>
        </w:tc>
        <w:tc>
          <w:tcPr>
            <w:tcW w:w="1191" w:type="pct"/>
            <w:shd w:val="clear" w:color="auto" w:fill="auto"/>
            <w:noWrap/>
            <w:vAlign w:val="bottom"/>
          </w:tcPr>
          <w:p w:rsidR="00CC224B" w:rsidRPr="00CC224B" w:rsidRDefault="00CC224B" w:rsidP="00733734">
            <w:pPr>
              <w:jc w:val="center"/>
              <w:rPr>
                <w:sz w:val="24"/>
                <w:szCs w:val="24"/>
              </w:rPr>
            </w:pPr>
            <w:r w:rsidRPr="00CC224B">
              <w:rPr>
                <w:sz w:val="24"/>
                <w:szCs w:val="24"/>
              </w:rPr>
              <w:t xml:space="preserve">102,9  </w:t>
            </w:r>
          </w:p>
        </w:tc>
      </w:tr>
      <w:tr w:rsidR="00CC224B" w:rsidRPr="00CC224B" w:rsidTr="00733734">
        <w:tc>
          <w:tcPr>
            <w:tcW w:w="3046" w:type="pct"/>
            <w:shd w:val="clear" w:color="auto" w:fill="auto"/>
            <w:hideMark/>
          </w:tcPr>
          <w:p w:rsidR="00CC224B" w:rsidRPr="00CC224B" w:rsidRDefault="00CC224B" w:rsidP="00733734">
            <w:pPr>
              <w:rPr>
                <w:sz w:val="24"/>
                <w:szCs w:val="24"/>
              </w:rPr>
            </w:pPr>
            <w:r w:rsidRPr="00CC224B">
              <w:rPr>
                <w:sz w:val="24"/>
                <w:szCs w:val="24"/>
              </w:rPr>
              <w:t>торговля оптовая и розничная, ремонт автотранспортных средств и мотоциклов</w:t>
            </w:r>
          </w:p>
        </w:tc>
        <w:tc>
          <w:tcPr>
            <w:tcW w:w="763" w:type="pct"/>
            <w:shd w:val="clear" w:color="auto" w:fill="auto"/>
            <w:vAlign w:val="bottom"/>
          </w:tcPr>
          <w:p w:rsidR="00CC224B" w:rsidRPr="00CC224B" w:rsidRDefault="00CC224B" w:rsidP="00733734">
            <w:pPr>
              <w:jc w:val="center"/>
              <w:rPr>
                <w:sz w:val="24"/>
                <w:szCs w:val="24"/>
              </w:rPr>
            </w:pPr>
            <w:r w:rsidRPr="00CC224B">
              <w:rPr>
                <w:sz w:val="24"/>
                <w:szCs w:val="24"/>
              </w:rPr>
              <w:t xml:space="preserve">37778  </w:t>
            </w:r>
          </w:p>
        </w:tc>
        <w:tc>
          <w:tcPr>
            <w:tcW w:w="1191" w:type="pct"/>
            <w:shd w:val="clear" w:color="auto" w:fill="auto"/>
            <w:noWrap/>
            <w:vAlign w:val="bottom"/>
          </w:tcPr>
          <w:p w:rsidR="00CC224B" w:rsidRPr="00CC224B" w:rsidRDefault="00CC224B" w:rsidP="00733734">
            <w:pPr>
              <w:jc w:val="center"/>
              <w:rPr>
                <w:sz w:val="24"/>
                <w:szCs w:val="24"/>
              </w:rPr>
            </w:pPr>
            <w:r w:rsidRPr="00CC224B">
              <w:rPr>
                <w:sz w:val="24"/>
                <w:szCs w:val="24"/>
              </w:rPr>
              <w:t xml:space="preserve">110,0  </w:t>
            </w:r>
          </w:p>
        </w:tc>
      </w:tr>
      <w:tr w:rsidR="00CC224B" w:rsidRPr="00CC224B" w:rsidTr="00733734">
        <w:tc>
          <w:tcPr>
            <w:tcW w:w="3046" w:type="pct"/>
            <w:shd w:val="clear" w:color="auto" w:fill="auto"/>
          </w:tcPr>
          <w:p w:rsidR="00CC224B" w:rsidRPr="00CC224B" w:rsidRDefault="00CC224B" w:rsidP="00733734">
            <w:pPr>
              <w:rPr>
                <w:sz w:val="24"/>
                <w:szCs w:val="24"/>
              </w:rPr>
            </w:pPr>
            <w:r w:rsidRPr="00CC224B">
              <w:rPr>
                <w:sz w:val="24"/>
                <w:szCs w:val="24"/>
              </w:rPr>
              <w:t>транспортировка и хранение</w:t>
            </w:r>
          </w:p>
        </w:tc>
        <w:tc>
          <w:tcPr>
            <w:tcW w:w="763" w:type="pct"/>
            <w:shd w:val="clear" w:color="auto" w:fill="auto"/>
            <w:vAlign w:val="bottom"/>
          </w:tcPr>
          <w:p w:rsidR="00CC224B" w:rsidRPr="00CC224B" w:rsidRDefault="00CC224B" w:rsidP="00733734">
            <w:pPr>
              <w:jc w:val="center"/>
              <w:rPr>
                <w:sz w:val="24"/>
                <w:szCs w:val="24"/>
              </w:rPr>
            </w:pPr>
            <w:r w:rsidRPr="00CC224B">
              <w:rPr>
                <w:sz w:val="24"/>
                <w:szCs w:val="24"/>
              </w:rPr>
              <w:t xml:space="preserve">74486  </w:t>
            </w:r>
          </w:p>
        </w:tc>
        <w:tc>
          <w:tcPr>
            <w:tcW w:w="1191" w:type="pct"/>
            <w:shd w:val="clear" w:color="auto" w:fill="auto"/>
            <w:noWrap/>
            <w:vAlign w:val="bottom"/>
          </w:tcPr>
          <w:p w:rsidR="00CC224B" w:rsidRPr="00CC224B" w:rsidRDefault="00CC224B" w:rsidP="00733734">
            <w:pPr>
              <w:jc w:val="center"/>
              <w:rPr>
                <w:sz w:val="24"/>
                <w:szCs w:val="24"/>
              </w:rPr>
            </w:pPr>
            <w:r w:rsidRPr="00CC224B">
              <w:rPr>
                <w:sz w:val="24"/>
                <w:szCs w:val="24"/>
              </w:rPr>
              <w:t xml:space="preserve">102,6  </w:t>
            </w:r>
          </w:p>
        </w:tc>
      </w:tr>
      <w:tr w:rsidR="00CC224B" w:rsidRPr="00CC224B" w:rsidTr="00733734">
        <w:tc>
          <w:tcPr>
            <w:tcW w:w="3046" w:type="pct"/>
            <w:shd w:val="clear" w:color="auto" w:fill="auto"/>
            <w:hideMark/>
          </w:tcPr>
          <w:p w:rsidR="00CC224B" w:rsidRPr="00CC224B" w:rsidRDefault="00CC224B" w:rsidP="00733734">
            <w:pPr>
              <w:rPr>
                <w:sz w:val="24"/>
                <w:szCs w:val="24"/>
              </w:rPr>
            </w:pPr>
            <w:r w:rsidRPr="00CC224B">
              <w:rPr>
                <w:sz w:val="24"/>
                <w:szCs w:val="24"/>
              </w:rPr>
              <w:t>деятельность гостиниц и предприятий общественного питания</w:t>
            </w:r>
          </w:p>
        </w:tc>
        <w:tc>
          <w:tcPr>
            <w:tcW w:w="763" w:type="pct"/>
            <w:shd w:val="clear" w:color="auto" w:fill="auto"/>
            <w:vAlign w:val="bottom"/>
          </w:tcPr>
          <w:p w:rsidR="00CC224B" w:rsidRPr="00CC224B" w:rsidRDefault="00CC224B" w:rsidP="00733734">
            <w:pPr>
              <w:jc w:val="center"/>
              <w:rPr>
                <w:sz w:val="24"/>
                <w:szCs w:val="24"/>
              </w:rPr>
            </w:pPr>
            <w:r w:rsidRPr="00CC224B">
              <w:rPr>
                <w:sz w:val="24"/>
                <w:szCs w:val="24"/>
              </w:rPr>
              <w:t xml:space="preserve">35616  </w:t>
            </w:r>
          </w:p>
        </w:tc>
        <w:tc>
          <w:tcPr>
            <w:tcW w:w="1191" w:type="pct"/>
            <w:shd w:val="clear" w:color="auto" w:fill="auto"/>
            <w:noWrap/>
            <w:vAlign w:val="bottom"/>
          </w:tcPr>
          <w:p w:rsidR="00CC224B" w:rsidRPr="00CC224B" w:rsidRDefault="00CC224B" w:rsidP="00733734">
            <w:pPr>
              <w:jc w:val="center"/>
              <w:rPr>
                <w:sz w:val="24"/>
                <w:szCs w:val="24"/>
              </w:rPr>
            </w:pPr>
            <w:r w:rsidRPr="00CC224B">
              <w:rPr>
                <w:sz w:val="24"/>
                <w:szCs w:val="24"/>
              </w:rPr>
              <w:t xml:space="preserve">100,6  </w:t>
            </w:r>
          </w:p>
        </w:tc>
      </w:tr>
      <w:tr w:rsidR="00CC224B" w:rsidRPr="00CC224B" w:rsidTr="00733734">
        <w:tc>
          <w:tcPr>
            <w:tcW w:w="3046" w:type="pct"/>
            <w:shd w:val="clear" w:color="auto" w:fill="auto"/>
          </w:tcPr>
          <w:p w:rsidR="00CC224B" w:rsidRPr="00CC224B" w:rsidRDefault="00CC224B" w:rsidP="00733734">
            <w:pPr>
              <w:rPr>
                <w:sz w:val="24"/>
                <w:szCs w:val="24"/>
              </w:rPr>
            </w:pPr>
            <w:r w:rsidRPr="00CC224B">
              <w:rPr>
                <w:sz w:val="24"/>
                <w:szCs w:val="24"/>
              </w:rPr>
              <w:t>деятельность в области информации и связи</w:t>
            </w:r>
          </w:p>
        </w:tc>
        <w:tc>
          <w:tcPr>
            <w:tcW w:w="763" w:type="pct"/>
            <w:shd w:val="clear" w:color="auto" w:fill="auto"/>
            <w:vAlign w:val="bottom"/>
          </w:tcPr>
          <w:p w:rsidR="00CC224B" w:rsidRPr="00CC224B" w:rsidRDefault="00CC224B" w:rsidP="00733734">
            <w:pPr>
              <w:jc w:val="center"/>
              <w:rPr>
                <w:sz w:val="24"/>
                <w:szCs w:val="24"/>
              </w:rPr>
            </w:pPr>
            <w:r w:rsidRPr="00CC224B">
              <w:rPr>
                <w:sz w:val="24"/>
                <w:szCs w:val="24"/>
              </w:rPr>
              <w:t xml:space="preserve">75238  </w:t>
            </w:r>
          </w:p>
        </w:tc>
        <w:tc>
          <w:tcPr>
            <w:tcW w:w="1191" w:type="pct"/>
            <w:shd w:val="clear" w:color="auto" w:fill="auto"/>
            <w:noWrap/>
            <w:vAlign w:val="bottom"/>
          </w:tcPr>
          <w:p w:rsidR="00CC224B" w:rsidRPr="00CC224B" w:rsidRDefault="00CC224B" w:rsidP="00733734">
            <w:pPr>
              <w:jc w:val="center"/>
              <w:rPr>
                <w:sz w:val="24"/>
                <w:szCs w:val="24"/>
              </w:rPr>
            </w:pPr>
            <w:r w:rsidRPr="00CC224B">
              <w:rPr>
                <w:sz w:val="24"/>
                <w:szCs w:val="24"/>
              </w:rPr>
              <w:t xml:space="preserve">102,6  </w:t>
            </w:r>
          </w:p>
        </w:tc>
      </w:tr>
      <w:tr w:rsidR="00CC224B" w:rsidRPr="00CC224B" w:rsidTr="00733734">
        <w:tc>
          <w:tcPr>
            <w:tcW w:w="3046" w:type="pct"/>
            <w:shd w:val="clear" w:color="auto" w:fill="auto"/>
            <w:hideMark/>
          </w:tcPr>
          <w:p w:rsidR="00CC224B" w:rsidRPr="00CC224B" w:rsidRDefault="00CC224B" w:rsidP="00733734">
            <w:pPr>
              <w:rPr>
                <w:sz w:val="24"/>
                <w:szCs w:val="24"/>
              </w:rPr>
            </w:pPr>
            <w:r w:rsidRPr="00CC224B">
              <w:rPr>
                <w:sz w:val="24"/>
                <w:szCs w:val="24"/>
              </w:rPr>
              <w:t>деятельность финансовая и страховая</w:t>
            </w:r>
          </w:p>
        </w:tc>
        <w:tc>
          <w:tcPr>
            <w:tcW w:w="763" w:type="pct"/>
            <w:shd w:val="clear" w:color="auto" w:fill="auto"/>
            <w:vAlign w:val="bottom"/>
          </w:tcPr>
          <w:p w:rsidR="00CC224B" w:rsidRPr="00CC224B" w:rsidRDefault="00CC224B" w:rsidP="00733734">
            <w:pPr>
              <w:jc w:val="center"/>
              <w:rPr>
                <w:sz w:val="24"/>
                <w:szCs w:val="24"/>
              </w:rPr>
            </w:pPr>
            <w:r w:rsidRPr="00CC224B">
              <w:rPr>
                <w:sz w:val="24"/>
                <w:szCs w:val="24"/>
              </w:rPr>
              <w:t xml:space="preserve">87657  </w:t>
            </w:r>
          </w:p>
        </w:tc>
        <w:tc>
          <w:tcPr>
            <w:tcW w:w="1191" w:type="pct"/>
            <w:shd w:val="clear" w:color="auto" w:fill="auto"/>
            <w:noWrap/>
            <w:vAlign w:val="bottom"/>
          </w:tcPr>
          <w:p w:rsidR="00CC224B" w:rsidRPr="00CC224B" w:rsidRDefault="00CC224B" w:rsidP="00733734">
            <w:pPr>
              <w:jc w:val="center"/>
              <w:rPr>
                <w:sz w:val="24"/>
                <w:szCs w:val="24"/>
              </w:rPr>
            </w:pPr>
            <w:r w:rsidRPr="00CC224B">
              <w:rPr>
                <w:sz w:val="24"/>
                <w:szCs w:val="24"/>
              </w:rPr>
              <w:t xml:space="preserve">109,1  </w:t>
            </w:r>
          </w:p>
        </w:tc>
      </w:tr>
      <w:tr w:rsidR="00CC224B" w:rsidRPr="00CC224B" w:rsidTr="00733734">
        <w:tc>
          <w:tcPr>
            <w:tcW w:w="3046" w:type="pct"/>
            <w:shd w:val="clear" w:color="auto" w:fill="auto"/>
          </w:tcPr>
          <w:p w:rsidR="00CC224B" w:rsidRPr="00CC224B" w:rsidRDefault="00CC224B" w:rsidP="00733734">
            <w:pPr>
              <w:rPr>
                <w:sz w:val="24"/>
                <w:szCs w:val="24"/>
              </w:rPr>
            </w:pPr>
            <w:r w:rsidRPr="00CC224B">
              <w:rPr>
                <w:sz w:val="24"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763" w:type="pct"/>
            <w:shd w:val="clear" w:color="auto" w:fill="auto"/>
            <w:vAlign w:val="bottom"/>
          </w:tcPr>
          <w:p w:rsidR="00CC224B" w:rsidRPr="00CC224B" w:rsidRDefault="00CC224B" w:rsidP="00733734">
            <w:pPr>
              <w:jc w:val="center"/>
              <w:rPr>
                <w:sz w:val="24"/>
                <w:szCs w:val="24"/>
              </w:rPr>
            </w:pPr>
            <w:r w:rsidRPr="00CC224B">
              <w:rPr>
                <w:sz w:val="24"/>
                <w:szCs w:val="24"/>
              </w:rPr>
              <w:t xml:space="preserve">43164  </w:t>
            </w:r>
          </w:p>
        </w:tc>
        <w:tc>
          <w:tcPr>
            <w:tcW w:w="1191" w:type="pct"/>
            <w:shd w:val="clear" w:color="auto" w:fill="auto"/>
            <w:noWrap/>
            <w:vAlign w:val="bottom"/>
          </w:tcPr>
          <w:p w:rsidR="00CC224B" w:rsidRPr="00CC224B" w:rsidRDefault="00CC224B" w:rsidP="00733734">
            <w:pPr>
              <w:jc w:val="center"/>
              <w:rPr>
                <w:sz w:val="24"/>
                <w:szCs w:val="24"/>
              </w:rPr>
            </w:pPr>
            <w:r w:rsidRPr="00CC224B">
              <w:rPr>
                <w:sz w:val="24"/>
                <w:szCs w:val="24"/>
              </w:rPr>
              <w:t xml:space="preserve">103,7  </w:t>
            </w:r>
          </w:p>
        </w:tc>
      </w:tr>
      <w:tr w:rsidR="00CC224B" w:rsidRPr="00CC224B" w:rsidTr="00733734">
        <w:tc>
          <w:tcPr>
            <w:tcW w:w="3046" w:type="pct"/>
            <w:shd w:val="clear" w:color="auto" w:fill="auto"/>
          </w:tcPr>
          <w:p w:rsidR="00CC224B" w:rsidRPr="00CC224B" w:rsidRDefault="00CC224B" w:rsidP="00733734">
            <w:pPr>
              <w:rPr>
                <w:sz w:val="24"/>
                <w:szCs w:val="24"/>
              </w:rPr>
            </w:pPr>
            <w:r w:rsidRPr="00CC224B">
              <w:rPr>
                <w:sz w:val="24"/>
                <w:szCs w:val="24"/>
              </w:rPr>
              <w:t>деятельность профессиональная, научная и техническая</w:t>
            </w:r>
          </w:p>
        </w:tc>
        <w:tc>
          <w:tcPr>
            <w:tcW w:w="763" w:type="pct"/>
            <w:shd w:val="clear" w:color="auto" w:fill="auto"/>
            <w:vAlign w:val="bottom"/>
          </w:tcPr>
          <w:p w:rsidR="00CC224B" w:rsidRPr="00CC224B" w:rsidRDefault="00CC224B" w:rsidP="00733734">
            <w:pPr>
              <w:jc w:val="center"/>
              <w:rPr>
                <w:sz w:val="24"/>
                <w:szCs w:val="24"/>
              </w:rPr>
            </w:pPr>
            <w:r w:rsidRPr="00CC224B">
              <w:rPr>
                <w:sz w:val="24"/>
                <w:szCs w:val="24"/>
              </w:rPr>
              <w:t xml:space="preserve">74175  </w:t>
            </w:r>
          </w:p>
        </w:tc>
        <w:tc>
          <w:tcPr>
            <w:tcW w:w="1191" w:type="pct"/>
            <w:shd w:val="clear" w:color="auto" w:fill="auto"/>
            <w:noWrap/>
            <w:vAlign w:val="bottom"/>
          </w:tcPr>
          <w:p w:rsidR="00CC224B" w:rsidRPr="00CC224B" w:rsidRDefault="00CC224B" w:rsidP="00733734">
            <w:pPr>
              <w:jc w:val="center"/>
              <w:rPr>
                <w:sz w:val="24"/>
                <w:szCs w:val="24"/>
              </w:rPr>
            </w:pPr>
            <w:r w:rsidRPr="00CC224B">
              <w:rPr>
                <w:sz w:val="24"/>
                <w:szCs w:val="24"/>
              </w:rPr>
              <w:t xml:space="preserve">108,2  </w:t>
            </w:r>
          </w:p>
        </w:tc>
      </w:tr>
      <w:tr w:rsidR="00CC224B" w:rsidRPr="00CC224B" w:rsidTr="00733734">
        <w:tc>
          <w:tcPr>
            <w:tcW w:w="3046" w:type="pct"/>
            <w:shd w:val="clear" w:color="auto" w:fill="auto"/>
          </w:tcPr>
          <w:p w:rsidR="00CC224B" w:rsidRPr="00CC224B" w:rsidRDefault="00CC224B" w:rsidP="00733734">
            <w:pPr>
              <w:rPr>
                <w:sz w:val="24"/>
                <w:szCs w:val="24"/>
              </w:rPr>
            </w:pPr>
            <w:r w:rsidRPr="00CC224B">
              <w:rPr>
                <w:sz w:val="24"/>
                <w:szCs w:val="24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763" w:type="pct"/>
            <w:shd w:val="clear" w:color="auto" w:fill="auto"/>
            <w:vAlign w:val="bottom"/>
          </w:tcPr>
          <w:p w:rsidR="00CC224B" w:rsidRPr="00CC224B" w:rsidRDefault="00CC224B" w:rsidP="00733734">
            <w:pPr>
              <w:jc w:val="center"/>
              <w:rPr>
                <w:sz w:val="24"/>
                <w:szCs w:val="24"/>
              </w:rPr>
            </w:pPr>
            <w:r w:rsidRPr="00CC224B">
              <w:rPr>
                <w:sz w:val="24"/>
                <w:szCs w:val="24"/>
              </w:rPr>
              <w:t xml:space="preserve">52464  </w:t>
            </w:r>
          </w:p>
        </w:tc>
        <w:tc>
          <w:tcPr>
            <w:tcW w:w="1191" w:type="pct"/>
            <w:shd w:val="clear" w:color="auto" w:fill="auto"/>
            <w:noWrap/>
            <w:vAlign w:val="bottom"/>
          </w:tcPr>
          <w:p w:rsidR="00CC224B" w:rsidRPr="00CC224B" w:rsidRDefault="00CC224B" w:rsidP="00733734">
            <w:pPr>
              <w:jc w:val="center"/>
              <w:rPr>
                <w:sz w:val="24"/>
                <w:szCs w:val="24"/>
              </w:rPr>
            </w:pPr>
            <w:r w:rsidRPr="00CC224B">
              <w:rPr>
                <w:sz w:val="24"/>
                <w:szCs w:val="24"/>
              </w:rPr>
              <w:t xml:space="preserve">102,6  </w:t>
            </w:r>
          </w:p>
        </w:tc>
      </w:tr>
      <w:tr w:rsidR="00CC224B" w:rsidRPr="00CC224B" w:rsidTr="00733734">
        <w:tc>
          <w:tcPr>
            <w:tcW w:w="3046" w:type="pct"/>
            <w:shd w:val="clear" w:color="auto" w:fill="auto"/>
          </w:tcPr>
          <w:p w:rsidR="00CC224B" w:rsidRPr="00CC224B" w:rsidRDefault="00CC224B" w:rsidP="00733734">
            <w:pPr>
              <w:rPr>
                <w:sz w:val="24"/>
                <w:szCs w:val="24"/>
              </w:rPr>
            </w:pPr>
            <w:r w:rsidRPr="00CC224B">
              <w:rPr>
                <w:sz w:val="24"/>
                <w:szCs w:val="24"/>
              </w:rPr>
              <w:t>государственное управление и обеспечение военной безопасности, социальное обеспечение</w:t>
            </w:r>
          </w:p>
        </w:tc>
        <w:tc>
          <w:tcPr>
            <w:tcW w:w="763" w:type="pct"/>
            <w:shd w:val="clear" w:color="auto" w:fill="auto"/>
            <w:vAlign w:val="bottom"/>
          </w:tcPr>
          <w:p w:rsidR="00CC224B" w:rsidRPr="00CC224B" w:rsidRDefault="00CC224B" w:rsidP="00733734">
            <w:pPr>
              <w:jc w:val="center"/>
              <w:rPr>
                <w:sz w:val="24"/>
                <w:szCs w:val="24"/>
              </w:rPr>
            </w:pPr>
            <w:r w:rsidRPr="00CC224B">
              <w:rPr>
                <w:sz w:val="24"/>
                <w:szCs w:val="24"/>
              </w:rPr>
              <w:t xml:space="preserve">76785  </w:t>
            </w:r>
          </w:p>
        </w:tc>
        <w:tc>
          <w:tcPr>
            <w:tcW w:w="1191" w:type="pct"/>
            <w:shd w:val="clear" w:color="auto" w:fill="auto"/>
            <w:noWrap/>
            <w:vAlign w:val="bottom"/>
          </w:tcPr>
          <w:p w:rsidR="00CC224B" w:rsidRPr="00CC224B" w:rsidRDefault="00CC224B" w:rsidP="00733734">
            <w:pPr>
              <w:jc w:val="center"/>
              <w:rPr>
                <w:sz w:val="24"/>
                <w:szCs w:val="24"/>
              </w:rPr>
            </w:pPr>
            <w:r w:rsidRPr="00CC224B">
              <w:rPr>
                <w:sz w:val="24"/>
                <w:szCs w:val="24"/>
              </w:rPr>
              <w:t xml:space="preserve">103,4  </w:t>
            </w:r>
          </w:p>
        </w:tc>
      </w:tr>
      <w:tr w:rsidR="00CC224B" w:rsidRPr="00CC224B" w:rsidTr="00733734">
        <w:tc>
          <w:tcPr>
            <w:tcW w:w="3046" w:type="pct"/>
            <w:shd w:val="clear" w:color="auto" w:fill="auto"/>
            <w:hideMark/>
          </w:tcPr>
          <w:p w:rsidR="00CC224B" w:rsidRPr="00CC224B" w:rsidRDefault="00CC224B" w:rsidP="00733734">
            <w:pPr>
              <w:rPr>
                <w:sz w:val="24"/>
                <w:szCs w:val="24"/>
              </w:rPr>
            </w:pPr>
            <w:r w:rsidRPr="00CC224B">
              <w:rPr>
                <w:sz w:val="24"/>
                <w:szCs w:val="24"/>
              </w:rPr>
              <w:t>образование</w:t>
            </w:r>
          </w:p>
        </w:tc>
        <w:tc>
          <w:tcPr>
            <w:tcW w:w="763" w:type="pct"/>
            <w:shd w:val="clear" w:color="auto" w:fill="auto"/>
            <w:vAlign w:val="bottom"/>
          </w:tcPr>
          <w:p w:rsidR="00CC224B" w:rsidRPr="00CC224B" w:rsidRDefault="00CC224B" w:rsidP="00733734">
            <w:pPr>
              <w:jc w:val="center"/>
              <w:rPr>
                <w:sz w:val="24"/>
                <w:szCs w:val="24"/>
              </w:rPr>
            </w:pPr>
            <w:r w:rsidRPr="00CC224B">
              <w:rPr>
                <w:sz w:val="24"/>
                <w:szCs w:val="24"/>
              </w:rPr>
              <w:t xml:space="preserve">64495  </w:t>
            </w:r>
          </w:p>
        </w:tc>
        <w:tc>
          <w:tcPr>
            <w:tcW w:w="1191" w:type="pct"/>
            <w:shd w:val="clear" w:color="auto" w:fill="auto"/>
            <w:noWrap/>
            <w:vAlign w:val="bottom"/>
          </w:tcPr>
          <w:p w:rsidR="00CC224B" w:rsidRPr="00CC224B" w:rsidRDefault="00CC224B" w:rsidP="00733734">
            <w:pPr>
              <w:jc w:val="center"/>
              <w:rPr>
                <w:sz w:val="24"/>
                <w:szCs w:val="24"/>
              </w:rPr>
            </w:pPr>
            <w:r w:rsidRPr="00CC224B">
              <w:rPr>
                <w:sz w:val="24"/>
                <w:szCs w:val="24"/>
              </w:rPr>
              <w:t xml:space="preserve">104,4  </w:t>
            </w:r>
          </w:p>
        </w:tc>
      </w:tr>
      <w:tr w:rsidR="00CC224B" w:rsidRPr="00CC224B" w:rsidTr="00733734">
        <w:tc>
          <w:tcPr>
            <w:tcW w:w="3046" w:type="pct"/>
            <w:shd w:val="clear" w:color="auto" w:fill="auto"/>
            <w:hideMark/>
          </w:tcPr>
          <w:p w:rsidR="00CC224B" w:rsidRPr="00CC224B" w:rsidRDefault="00CC224B" w:rsidP="00733734">
            <w:pPr>
              <w:rPr>
                <w:sz w:val="24"/>
                <w:szCs w:val="24"/>
              </w:rPr>
            </w:pPr>
            <w:r w:rsidRPr="00CC224B">
              <w:rPr>
                <w:sz w:val="24"/>
                <w:szCs w:val="24"/>
              </w:rPr>
              <w:t>деятельность в области здравоохранения и социальных услуг</w:t>
            </w:r>
          </w:p>
        </w:tc>
        <w:tc>
          <w:tcPr>
            <w:tcW w:w="763" w:type="pct"/>
            <w:shd w:val="clear" w:color="auto" w:fill="auto"/>
            <w:vAlign w:val="bottom"/>
          </w:tcPr>
          <w:p w:rsidR="00CC224B" w:rsidRPr="00CC224B" w:rsidRDefault="00CC224B" w:rsidP="00733734">
            <w:pPr>
              <w:jc w:val="center"/>
              <w:rPr>
                <w:sz w:val="24"/>
                <w:szCs w:val="24"/>
              </w:rPr>
            </w:pPr>
            <w:r w:rsidRPr="00CC224B">
              <w:rPr>
                <w:sz w:val="24"/>
                <w:szCs w:val="24"/>
              </w:rPr>
              <w:t xml:space="preserve">70728  </w:t>
            </w:r>
          </w:p>
        </w:tc>
        <w:tc>
          <w:tcPr>
            <w:tcW w:w="1191" w:type="pct"/>
            <w:shd w:val="clear" w:color="auto" w:fill="auto"/>
            <w:noWrap/>
            <w:vAlign w:val="bottom"/>
          </w:tcPr>
          <w:p w:rsidR="00CC224B" w:rsidRPr="00CC224B" w:rsidRDefault="00CC224B" w:rsidP="00733734">
            <w:pPr>
              <w:jc w:val="center"/>
              <w:rPr>
                <w:sz w:val="24"/>
                <w:szCs w:val="24"/>
              </w:rPr>
            </w:pPr>
            <w:r w:rsidRPr="00CC224B">
              <w:rPr>
                <w:sz w:val="24"/>
                <w:szCs w:val="24"/>
              </w:rPr>
              <w:t xml:space="preserve">104,5  </w:t>
            </w:r>
          </w:p>
        </w:tc>
      </w:tr>
      <w:tr w:rsidR="00CC224B" w:rsidRPr="00A20E22" w:rsidTr="00733734">
        <w:tc>
          <w:tcPr>
            <w:tcW w:w="3046" w:type="pct"/>
            <w:shd w:val="clear" w:color="auto" w:fill="auto"/>
          </w:tcPr>
          <w:p w:rsidR="00CC224B" w:rsidRPr="00CC224B" w:rsidRDefault="00CC224B" w:rsidP="00733734">
            <w:pPr>
              <w:rPr>
                <w:sz w:val="24"/>
                <w:szCs w:val="24"/>
              </w:rPr>
            </w:pPr>
            <w:r w:rsidRPr="00CC224B">
              <w:rPr>
                <w:sz w:val="24"/>
                <w:szCs w:val="24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763" w:type="pct"/>
            <w:shd w:val="clear" w:color="auto" w:fill="auto"/>
            <w:vAlign w:val="bottom"/>
          </w:tcPr>
          <w:p w:rsidR="00CC224B" w:rsidRPr="00CC224B" w:rsidRDefault="00CC224B" w:rsidP="00733734">
            <w:pPr>
              <w:jc w:val="center"/>
              <w:rPr>
                <w:sz w:val="24"/>
                <w:szCs w:val="24"/>
              </w:rPr>
            </w:pPr>
            <w:r w:rsidRPr="00CC224B">
              <w:rPr>
                <w:sz w:val="24"/>
                <w:szCs w:val="24"/>
              </w:rPr>
              <w:t xml:space="preserve">65525  </w:t>
            </w:r>
          </w:p>
        </w:tc>
        <w:tc>
          <w:tcPr>
            <w:tcW w:w="1191" w:type="pct"/>
            <w:shd w:val="clear" w:color="auto" w:fill="auto"/>
            <w:noWrap/>
            <w:vAlign w:val="bottom"/>
          </w:tcPr>
          <w:p w:rsidR="00CC224B" w:rsidRPr="00CC224B" w:rsidRDefault="00CC224B" w:rsidP="00733734">
            <w:pPr>
              <w:jc w:val="center"/>
              <w:rPr>
                <w:sz w:val="24"/>
                <w:szCs w:val="24"/>
              </w:rPr>
            </w:pPr>
            <w:r w:rsidRPr="00CC224B">
              <w:rPr>
                <w:sz w:val="24"/>
                <w:szCs w:val="24"/>
              </w:rPr>
              <w:t xml:space="preserve">101,5  </w:t>
            </w:r>
          </w:p>
        </w:tc>
      </w:tr>
    </w:tbl>
    <w:p w:rsidR="00CC224B" w:rsidRPr="00A20E22" w:rsidRDefault="00CC224B" w:rsidP="00CC224B">
      <w:pPr>
        <w:widowControl w:val="0"/>
        <w:ind w:firstLine="709"/>
        <w:jc w:val="both"/>
        <w:rPr>
          <w:rFonts w:eastAsia="Calibri"/>
          <w:sz w:val="26"/>
          <w:szCs w:val="26"/>
        </w:rPr>
      </w:pPr>
    </w:p>
    <w:p w:rsidR="00CC224B" w:rsidRPr="00CC224B" w:rsidRDefault="00CC224B" w:rsidP="00CC224B">
      <w:pPr>
        <w:widowControl w:val="0"/>
        <w:ind w:firstLine="709"/>
        <w:jc w:val="both"/>
        <w:rPr>
          <w:rFonts w:eastAsia="Courier New"/>
          <w:sz w:val="26"/>
          <w:szCs w:val="26"/>
        </w:rPr>
      </w:pPr>
      <w:proofErr w:type="gramStart"/>
      <w:r w:rsidRPr="00CC224B">
        <w:rPr>
          <w:sz w:val="26"/>
          <w:szCs w:val="26"/>
        </w:rPr>
        <w:t>Принятые меры, обеспечивающие реализацию указов Президента Российской Федерации, позволили по итогам января-июня 2019 года достичь установленные целевые показатели по оплате труда отдельных категорий работников бюджетной сферы в полном объеме, кроме п</w:t>
      </w:r>
      <w:r w:rsidRPr="00CC224B">
        <w:rPr>
          <w:rFonts w:eastAsia="Courier New"/>
          <w:sz w:val="26"/>
          <w:szCs w:val="26"/>
        </w:rPr>
        <w:t>едагогических работников дошкольных образовательных учреждений, педагогических работников учреждений дополнительного образования детей.</w:t>
      </w:r>
      <w:proofErr w:type="gramEnd"/>
    </w:p>
    <w:p w:rsidR="00CC224B" w:rsidRPr="00CC224B" w:rsidRDefault="00CC224B" w:rsidP="00CC224B">
      <w:pPr>
        <w:widowControl w:val="0"/>
        <w:ind w:firstLine="709"/>
        <w:jc w:val="both"/>
        <w:rPr>
          <w:sz w:val="26"/>
          <w:szCs w:val="26"/>
        </w:rPr>
      </w:pPr>
      <w:proofErr w:type="spellStart"/>
      <w:r w:rsidRPr="00CC224B">
        <w:rPr>
          <w:sz w:val="26"/>
          <w:szCs w:val="26"/>
        </w:rPr>
        <w:t>Недостижение</w:t>
      </w:r>
      <w:proofErr w:type="spellEnd"/>
      <w:r w:rsidRPr="00CC224B">
        <w:rPr>
          <w:sz w:val="26"/>
          <w:szCs w:val="26"/>
        </w:rPr>
        <w:t xml:space="preserve"> индикативных показателей, учитываемых «период к периоду», по итогам 1 полугодия складывается ежегодно, что обусловлено  спецификой деятельности  образовательных учреждений различных типов, а также  уровнем образования работников – </w:t>
      </w:r>
      <w:r w:rsidRPr="00CC224B">
        <w:rPr>
          <w:rFonts w:eastAsia="Courier New"/>
          <w:sz w:val="26"/>
          <w:szCs w:val="26"/>
        </w:rPr>
        <w:t xml:space="preserve">большинство </w:t>
      </w:r>
      <w:r w:rsidRPr="00CC224B">
        <w:rPr>
          <w:spacing w:val="-2"/>
          <w:sz w:val="26"/>
          <w:szCs w:val="26"/>
        </w:rPr>
        <w:t xml:space="preserve">молодых педагогов, имеют среднее специальное образование; отсутствует необходимый стаж работы, квалификационная категория, надбавка за работу в местностях, приравненных к местностям Крайнего Севера. </w:t>
      </w:r>
    </w:p>
    <w:p w:rsidR="00CC224B" w:rsidRPr="00A20E22" w:rsidRDefault="00CC224B" w:rsidP="00CC224B">
      <w:pPr>
        <w:spacing w:after="200" w:line="276" w:lineRule="auto"/>
        <w:jc w:val="right"/>
        <w:rPr>
          <w:sz w:val="26"/>
          <w:szCs w:val="26"/>
        </w:rPr>
      </w:pPr>
      <w:r w:rsidRPr="00A20E22">
        <w:rPr>
          <w:sz w:val="26"/>
          <w:szCs w:val="26"/>
        </w:rPr>
        <w:t>Таблица 6</w:t>
      </w:r>
    </w:p>
    <w:p w:rsidR="00CC224B" w:rsidRPr="00A20E22" w:rsidRDefault="00CC224B" w:rsidP="00CC224B">
      <w:pPr>
        <w:jc w:val="center"/>
        <w:rPr>
          <w:sz w:val="26"/>
          <w:szCs w:val="26"/>
        </w:rPr>
      </w:pPr>
      <w:r w:rsidRPr="00A20E22">
        <w:rPr>
          <w:sz w:val="26"/>
          <w:szCs w:val="26"/>
        </w:rPr>
        <w:t>Средняя заработная плата отдельных категорий работников социальной сферы и науки в организациях государственной и муниципальной форм собственности в Югре за январь-июнь 2019 год</w:t>
      </w:r>
      <w:r w:rsidRPr="00A20E22">
        <w:rPr>
          <w:rStyle w:val="a8"/>
          <w:sz w:val="26"/>
          <w:szCs w:val="26"/>
        </w:rPr>
        <w:footnoteReference w:id="28"/>
      </w:r>
    </w:p>
    <w:p w:rsidR="00CC224B" w:rsidRPr="00A20E22" w:rsidRDefault="00CC224B" w:rsidP="00CC224B">
      <w:pPr>
        <w:widowControl w:val="0"/>
        <w:jc w:val="both"/>
        <w:rPr>
          <w:sz w:val="12"/>
          <w:szCs w:val="1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"/>
        <w:gridCol w:w="3597"/>
        <w:gridCol w:w="1952"/>
        <w:gridCol w:w="1627"/>
        <w:gridCol w:w="1928"/>
      </w:tblGrid>
      <w:tr w:rsidR="00CC224B" w:rsidRPr="00A20E22" w:rsidTr="003E52CD">
        <w:trPr>
          <w:tblHeader/>
        </w:trPr>
        <w:tc>
          <w:tcPr>
            <w:tcW w:w="244" w:type="pct"/>
            <w:shd w:val="clear" w:color="auto" w:fill="auto"/>
            <w:vAlign w:val="center"/>
          </w:tcPr>
          <w:p w:rsidR="00CC224B" w:rsidRPr="00A20E22" w:rsidRDefault="00CC224B" w:rsidP="00733734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№</w:t>
            </w:r>
          </w:p>
        </w:tc>
        <w:tc>
          <w:tcPr>
            <w:tcW w:w="1879" w:type="pct"/>
            <w:shd w:val="clear" w:color="auto" w:fill="auto"/>
            <w:vAlign w:val="center"/>
          </w:tcPr>
          <w:p w:rsidR="00CC224B" w:rsidRPr="00A20E22" w:rsidRDefault="00CC224B" w:rsidP="00733734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Категория работников</w:t>
            </w:r>
          </w:p>
        </w:tc>
        <w:tc>
          <w:tcPr>
            <w:tcW w:w="1020" w:type="pct"/>
            <w:shd w:val="clear" w:color="auto" w:fill="auto"/>
            <w:vAlign w:val="center"/>
          </w:tcPr>
          <w:p w:rsidR="00CC224B" w:rsidRPr="00A20E22" w:rsidRDefault="00CC224B" w:rsidP="00733734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Среднемесячная заработная плата 1 работника, рублей</w:t>
            </w:r>
          </w:p>
        </w:tc>
        <w:tc>
          <w:tcPr>
            <w:tcW w:w="850" w:type="pct"/>
            <w:shd w:val="clear" w:color="auto" w:fill="auto"/>
            <w:vAlign w:val="center"/>
          </w:tcPr>
          <w:p w:rsidR="00CC224B" w:rsidRPr="00A20E22" w:rsidRDefault="00CC224B" w:rsidP="00733734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Отношение к среднему доходу от трудовой деятельности</w:t>
            </w:r>
          </w:p>
          <w:p w:rsidR="00CC224B" w:rsidRPr="00A20E22" w:rsidRDefault="00CC224B" w:rsidP="00733734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(план на 2018), %</w:t>
            </w:r>
          </w:p>
        </w:tc>
        <w:tc>
          <w:tcPr>
            <w:tcW w:w="1007" w:type="pct"/>
            <w:shd w:val="clear" w:color="auto" w:fill="auto"/>
            <w:vAlign w:val="center"/>
          </w:tcPr>
          <w:p w:rsidR="00CC224B" w:rsidRPr="00CC224B" w:rsidRDefault="00CC224B" w:rsidP="00733734">
            <w:pPr>
              <w:widowControl w:val="0"/>
              <w:jc w:val="center"/>
              <w:rPr>
                <w:sz w:val="24"/>
                <w:szCs w:val="24"/>
              </w:rPr>
            </w:pPr>
            <w:r w:rsidRPr="00CC224B">
              <w:rPr>
                <w:sz w:val="24"/>
                <w:szCs w:val="24"/>
              </w:rPr>
              <w:t>Отношение к среднему доходу от трудовой деятельности</w:t>
            </w:r>
            <w:r w:rsidRPr="00CC224B">
              <w:rPr>
                <w:rStyle w:val="a8"/>
              </w:rPr>
              <w:footnoteReference w:id="29"/>
            </w:r>
          </w:p>
          <w:p w:rsidR="00CC224B" w:rsidRPr="00CC224B" w:rsidRDefault="00CC224B" w:rsidP="00733734">
            <w:pPr>
              <w:widowControl w:val="0"/>
              <w:jc w:val="center"/>
              <w:rPr>
                <w:sz w:val="24"/>
                <w:szCs w:val="24"/>
              </w:rPr>
            </w:pPr>
            <w:r w:rsidRPr="00CC224B">
              <w:rPr>
                <w:sz w:val="24"/>
                <w:szCs w:val="24"/>
              </w:rPr>
              <w:t>(факт за январь-июнь 2019 года), %</w:t>
            </w:r>
          </w:p>
        </w:tc>
      </w:tr>
      <w:tr w:rsidR="00CC224B" w:rsidRPr="00A20E22" w:rsidTr="00733734">
        <w:tc>
          <w:tcPr>
            <w:tcW w:w="5000" w:type="pct"/>
            <w:gridSpan w:val="5"/>
            <w:shd w:val="clear" w:color="auto" w:fill="auto"/>
          </w:tcPr>
          <w:p w:rsidR="00CC224B" w:rsidRPr="00CC224B" w:rsidRDefault="00CC224B" w:rsidP="00733734">
            <w:pPr>
              <w:widowControl w:val="0"/>
              <w:jc w:val="center"/>
              <w:rPr>
                <w:sz w:val="24"/>
                <w:szCs w:val="24"/>
              </w:rPr>
            </w:pPr>
            <w:r w:rsidRPr="00CC224B">
              <w:rPr>
                <w:sz w:val="24"/>
                <w:szCs w:val="24"/>
              </w:rPr>
              <w:t xml:space="preserve">Указ Президента РФ от 07.05.2012 № 597 </w:t>
            </w:r>
          </w:p>
          <w:p w:rsidR="00CC224B" w:rsidRPr="00CC224B" w:rsidRDefault="00CC224B" w:rsidP="00733734">
            <w:pPr>
              <w:widowControl w:val="0"/>
              <w:jc w:val="center"/>
              <w:rPr>
                <w:sz w:val="24"/>
                <w:szCs w:val="24"/>
              </w:rPr>
            </w:pPr>
            <w:r w:rsidRPr="00CC224B">
              <w:rPr>
                <w:sz w:val="24"/>
                <w:szCs w:val="24"/>
              </w:rPr>
              <w:t>«О мероприятиях по реализации государственной социальной политики»</w:t>
            </w:r>
          </w:p>
        </w:tc>
      </w:tr>
      <w:tr w:rsidR="00CC224B" w:rsidRPr="00A20E22" w:rsidTr="003E52CD">
        <w:tc>
          <w:tcPr>
            <w:tcW w:w="244" w:type="pct"/>
            <w:shd w:val="clear" w:color="auto" w:fill="auto"/>
          </w:tcPr>
          <w:p w:rsidR="00CC224B" w:rsidRPr="00A20E22" w:rsidRDefault="00CC224B" w:rsidP="00733734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1</w:t>
            </w:r>
          </w:p>
        </w:tc>
        <w:tc>
          <w:tcPr>
            <w:tcW w:w="1879" w:type="pct"/>
            <w:shd w:val="clear" w:color="auto" w:fill="auto"/>
          </w:tcPr>
          <w:p w:rsidR="00CC224B" w:rsidRPr="00A20E22" w:rsidRDefault="00CC224B" w:rsidP="00733734">
            <w:pPr>
              <w:widowControl w:val="0"/>
              <w:jc w:val="both"/>
              <w:rPr>
                <w:rFonts w:eastAsia="Courier New"/>
                <w:sz w:val="24"/>
                <w:szCs w:val="24"/>
              </w:rPr>
            </w:pPr>
            <w:r w:rsidRPr="00A20E22">
              <w:rPr>
                <w:rFonts w:eastAsia="Courier New"/>
                <w:sz w:val="24"/>
                <w:szCs w:val="24"/>
              </w:rPr>
              <w:t xml:space="preserve">Педагогические работники образовательных учреждений общего образования </w:t>
            </w:r>
          </w:p>
        </w:tc>
        <w:tc>
          <w:tcPr>
            <w:tcW w:w="1020" w:type="pct"/>
            <w:shd w:val="clear" w:color="auto" w:fill="auto"/>
            <w:vAlign w:val="center"/>
          </w:tcPr>
          <w:p w:rsidR="00CC224B" w:rsidRPr="00A20E22" w:rsidRDefault="00CC224B" w:rsidP="007337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  <w:r w:rsidRPr="00A20E22">
              <w:rPr>
                <w:sz w:val="24"/>
                <w:szCs w:val="24"/>
              </w:rPr>
              <w:t>594,4</w:t>
            </w:r>
          </w:p>
        </w:tc>
        <w:tc>
          <w:tcPr>
            <w:tcW w:w="850" w:type="pct"/>
            <w:shd w:val="clear" w:color="auto" w:fill="auto"/>
            <w:vAlign w:val="center"/>
          </w:tcPr>
          <w:p w:rsidR="00CC224B" w:rsidRPr="00A20E22" w:rsidRDefault="00CC224B" w:rsidP="00733734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100,0</w:t>
            </w:r>
          </w:p>
        </w:tc>
        <w:tc>
          <w:tcPr>
            <w:tcW w:w="1007" w:type="pct"/>
            <w:shd w:val="clear" w:color="auto" w:fill="auto"/>
            <w:vAlign w:val="center"/>
          </w:tcPr>
          <w:p w:rsidR="00CC224B" w:rsidRPr="00CC224B" w:rsidRDefault="00CC224B" w:rsidP="00733734">
            <w:pPr>
              <w:widowControl w:val="0"/>
              <w:jc w:val="center"/>
              <w:rPr>
                <w:sz w:val="24"/>
                <w:szCs w:val="24"/>
              </w:rPr>
            </w:pPr>
            <w:r w:rsidRPr="00CC224B">
              <w:rPr>
                <w:sz w:val="24"/>
                <w:szCs w:val="24"/>
              </w:rPr>
              <w:t>131,9</w:t>
            </w:r>
          </w:p>
        </w:tc>
      </w:tr>
      <w:tr w:rsidR="00CC224B" w:rsidRPr="00A20E22" w:rsidTr="003E52CD">
        <w:tc>
          <w:tcPr>
            <w:tcW w:w="244" w:type="pct"/>
            <w:shd w:val="clear" w:color="auto" w:fill="auto"/>
          </w:tcPr>
          <w:p w:rsidR="00CC224B" w:rsidRPr="00A20E22" w:rsidRDefault="00CC224B" w:rsidP="00733734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2</w:t>
            </w:r>
          </w:p>
        </w:tc>
        <w:tc>
          <w:tcPr>
            <w:tcW w:w="1879" w:type="pct"/>
            <w:shd w:val="clear" w:color="auto" w:fill="auto"/>
          </w:tcPr>
          <w:p w:rsidR="00CC224B" w:rsidRPr="00A20E22" w:rsidRDefault="00CC224B" w:rsidP="00733734">
            <w:pPr>
              <w:widowControl w:val="0"/>
              <w:jc w:val="both"/>
              <w:rPr>
                <w:rFonts w:eastAsia="Courier New"/>
                <w:sz w:val="24"/>
                <w:szCs w:val="24"/>
              </w:rPr>
            </w:pPr>
            <w:r w:rsidRPr="00A20E22">
              <w:rPr>
                <w:rFonts w:eastAsia="Courier New"/>
                <w:sz w:val="24"/>
                <w:szCs w:val="24"/>
              </w:rPr>
              <w:t>Педагогические работники дошкольных образовательных учреждений (отношение к средней заработной плате в сфере общего образования)</w:t>
            </w:r>
            <w:r w:rsidRPr="00A20E22">
              <w:rPr>
                <w:rStyle w:val="a8"/>
                <w:rFonts w:eastAsia="Courier New"/>
              </w:rPr>
              <w:footnoteReference w:id="30"/>
            </w:r>
          </w:p>
        </w:tc>
        <w:tc>
          <w:tcPr>
            <w:tcW w:w="1020" w:type="pct"/>
            <w:shd w:val="clear" w:color="auto" w:fill="auto"/>
            <w:vAlign w:val="center"/>
          </w:tcPr>
          <w:p w:rsidR="00CC224B" w:rsidRPr="00A20E22" w:rsidRDefault="00CC224B" w:rsidP="007337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  <w:r w:rsidRPr="00A20E22">
              <w:rPr>
                <w:sz w:val="24"/>
                <w:szCs w:val="24"/>
              </w:rPr>
              <w:t>863,9</w:t>
            </w:r>
          </w:p>
        </w:tc>
        <w:tc>
          <w:tcPr>
            <w:tcW w:w="850" w:type="pct"/>
            <w:shd w:val="clear" w:color="auto" w:fill="auto"/>
            <w:vAlign w:val="center"/>
          </w:tcPr>
          <w:p w:rsidR="00CC224B" w:rsidRPr="00A20E22" w:rsidRDefault="00CC224B" w:rsidP="00733734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100,0</w:t>
            </w:r>
          </w:p>
        </w:tc>
        <w:tc>
          <w:tcPr>
            <w:tcW w:w="1007" w:type="pct"/>
            <w:shd w:val="clear" w:color="auto" w:fill="auto"/>
            <w:vAlign w:val="center"/>
          </w:tcPr>
          <w:p w:rsidR="00CC224B" w:rsidRPr="00CC224B" w:rsidRDefault="00CC224B" w:rsidP="00733734">
            <w:pPr>
              <w:widowControl w:val="0"/>
              <w:jc w:val="center"/>
              <w:rPr>
                <w:sz w:val="24"/>
                <w:szCs w:val="24"/>
              </w:rPr>
            </w:pPr>
            <w:r w:rsidRPr="00CC224B">
              <w:rPr>
                <w:sz w:val="24"/>
                <w:szCs w:val="24"/>
              </w:rPr>
              <w:t>90,0</w:t>
            </w:r>
          </w:p>
        </w:tc>
      </w:tr>
      <w:tr w:rsidR="00CC224B" w:rsidRPr="00A20E22" w:rsidTr="003E52CD">
        <w:tc>
          <w:tcPr>
            <w:tcW w:w="244" w:type="pct"/>
            <w:shd w:val="clear" w:color="auto" w:fill="auto"/>
          </w:tcPr>
          <w:p w:rsidR="00CC224B" w:rsidRPr="00A20E22" w:rsidRDefault="00CC224B" w:rsidP="00733734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3</w:t>
            </w:r>
          </w:p>
        </w:tc>
        <w:tc>
          <w:tcPr>
            <w:tcW w:w="1879" w:type="pct"/>
            <w:shd w:val="clear" w:color="auto" w:fill="auto"/>
          </w:tcPr>
          <w:p w:rsidR="00CC224B" w:rsidRPr="00A20E22" w:rsidRDefault="00CC224B" w:rsidP="00733734">
            <w:pPr>
              <w:widowControl w:val="0"/>
              <w:jc w:val="both"/>
              <w:rPr>
                <w:rFonts w:eastAsia="Courier New"/>
                <w:sz w:val="24"/>
                <w:szCs w:val="24"/>
              </w:rPr>
            </w:pPr>
            <w:r w:rsidRPr="00A20E22">
              <w:rPr>
                <w:rFonts w:eastAsia="Courier New"/>
                <w:sz w:val="24"/>
                <w:szCs w:val="24"/>
              </w:rPr>
              <w:t>Преподаватели и мастера производственного обучения образовательных учреждений начального и среднего профессионального образования</w:t>
            </w:r>
          </w:p>
        </w:tc>
        <w:tc>
          <w:tcPr>
            <w:tcW w:w="1020" w:type="pct"/>
            <w:shd w:val="clear" w:color="auto" w:fill="auto"/>
            <w:vAlign w:val="center"/>
          </w:tcPr>
          <w:p w:rsidR="00CC224B" w:rsidRPr="00A20E22" w:rsidRDefault="00CC224B" w:rsidP="00733734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  <w:r w:rsidRPr="00A20E22">
              <w:rPr>
                <w:sz w:val="24"/>
                <w:szCs w:val="24"/>
              </w:rPr>
              <w:t>801,6</w:t>
            </w:r>
          </w:p>
        </w:tc>
        <w:tc>
          <w:tcPr>
            <w:tcW w:w="850" w:type="pct"/>
            <w:shd w:val="clear" w:color="auto" w:fill="auto"/>
            <w:vAlign w:val="center"/>
          </w:tcPr>
          <w:p w:rsidR="00CC224B" w:rsidRPr="00A20E22" w:rsidRDefault="00CC224B" w:rsidP="00733734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100,0</w:t>
            </w:r>
          </w:p>
        </w:tc>
        <w:tc>
          <w:tcPr>
            <w:tcW w:w="1007" w:type="pct"/>
            <w:shd w:val="clear" w:color="auto" w:fill="auto"/>
            <w:vAlign w:val="center"/>
          </w:tcPr>
          <w:p w:rsidR="00CC224B" w:rsidRPr="00CC224B" w:rsidRDefault="00CC224B" w:rsidP="00733734">
            <w:pPr>
              <w:widowControl w:val="0"/>
              <w:jc w:val="center"/>
              <w:rPr>
                <w:sz w:val="24"/>
                <w:szCs w:val="24"/>
              </w:rPr>
            </w:pPr>
            <w:r w:rsidRPr="00CC224B">
              <w:rPr>
                <w:sz w:val="24"/>
                <w:szCs w:val="24"/>
              </w:rPr>
              <w:t>133,7</w:t>
            </w:r>
          </w:p>
        </w:tc>
      </w:tr>
      <w:tr w:rsidR="00CC224B" w:rsidRPr="00A20E22" w:rsidTr="003E52CD">
        <w:tc>
          <w:tcPr>
            <w:tcW w:w="244" w:type="pct"/>
            <w:shd w:val="clear" w:color="auto" w:fill="auto"/>
          </w:tcPr>
          <w:p w:rsidR="00CC224B" w:rsidRPr="00A20E22" w:rsidRDefault="00CC224B" w:rsidP="00733734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4</w:t>
            </w:r>
          </w:p>
        </w:tc>
        <w:tc>
          <w:tcPr>
            <w:tcW w:w="1879" w:type="pct"/>
            <w:shd w:val="clear" w:color="auto" w:fill="auto"/>
          </w:tcPr>
          <w:p w:rsidR="00CC224B" w:rsidRPr="00A20E22" w:rsidRDefault="00CC224B" w:rsidP="00733734">
            <w:pPr>
              <w:widowControl w:val="0"/>
              <w:jc w:val="both"/>
              <w:rPr>
                <w:rFonts w:eastAsia="Courier New"/>
                <w:sz w:val="24"/>
                <w:szCs w:val="24"/>
              </w:rPr>
            </w:pPr>
            <w:r w:rsidRPr="00A20E22">
              <w:rPr>
                <w:rFonts w:eastAsia="Courier New"/>
                <w:sz w:val="24"/>
                <w:szCs w:val="24"/>
              </w:rPr>
              <w:t xml:space="preserve">Преподаватели образовательных </w:t>
            </w:r>
            <w:r w:rsidRPr="00A20E22">
              <w:rPr>
                <w:rFonts w:eastAsia="Courier New"/>
                <w:sz w:val="24"/>
                <w:szCs w:val="24"/>
              </w:rPr>
              <w:lastRenderedPageBreak/>
              <w:t>учреждений высшего профессионального образования</w:t>
            </w:r>
          </w:p>
        </w:tc>
        <w:tc>
          <w:tcPr>
            <w:tcW w:w="1020" w:type="pct"/>
            <w:shd w:val="clear" w:color="auto" w:fill="auto"/>
            <w:vAlign w:val="center"/>
          </w:tcPr>
          <w:p w:rsidR="00CC224B" w:rsidRPr="00A20E22" w:rsidRDefault="00CC224B" w:rsidP="00733734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155</w:t>
            </w:r>
            <w:r w:rsidRPr="00A20E22">
              <w:rPr>
                <w:sz w:val="24"/>
                <w:szCs w:val="24"/>
              </w:rPr>
              <w:t>114,7</w:t>
            </w:r>
          </w:p>
        </w:tc>
        <w:tc>
          <w:tcPr>
            <w:tcW w:w="850" w:type="pct"/>
            <w:shd w:val="clear" w:color="auto" w:fill="auto"/>
            <w:vAlign w:val="center"/>
          </w:tcPr>
          <w:p w:rsidR="00CC224B" w:rsidRPr="00A20E22" w:rsidRDefault="00CC224B" w:rsidP="00733734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200,0</w:t>
            </w:r>
          </w:p>
        </w:tc>
        <w:tc>
          <w:tcPr>
            <w:tcW w:w="1007" w:type="pct"/>
            <w:shd w:val="clear" w:color="auto" w:fill="auto"/>
            <w:vAlign w:val="center"/>
          </w:tcPr>
          <w:p w:rsidR="00CC224B" w:rsidRPr="00CC224B" w:rsidRDefault="00CC224B" w:rsidP="00733734">
            <w:pPr>
              <w:widowControl w:val="0"/>
              <w:jc w:val="center"/>
              <w:rPr>
                <w:sz w:val="24"/>
                <w:szCs w:val="24"/>
              </w:rPr>
            </w:pPr>
            <w:r w:rsidRPr="00CC224B">
              <w:rPr>
                <w:sz w:val="24"/>
                <w:szCs w:val="24"/>
              </w:rPr>
              <w:t>2,4</w:t>
            </w:r>
            <w:proofErr w:type="gramStart"/>
            <w:r w:rsidRPr="00CC224B">
              <w:rPr>
                <w:sz w:val="24"/>
                <w:szCs w:val="24"/>
              </w:rPr>
              <w:t>р</w:t>
            </w:r>
            <w:proofErr w:type="gramEnd"/>
          </w:p>
        </w:tc>
      </w:tr>
      <w:tr w:rsidR="00CC224B" w:rsidRPr="00A24805" w:rsidTr="003E52CD">
        <w:tc>
          <w:tcPr>
            <w:tcW w:w="244" w:type="pct"/>
            <w:shd w:val="clear" w:color="auto" w:fill="auto"/>
          </w:tcPr>
          <w:p w:rsidR="00CC224B" w:rsidRPr="00A24805" w:rsidRDefault="00CC224B" w:rsidP="00733734">
            <w:pPr>
              <w:widowControl w:val="0"/>
              <w:jc w:val="center"/>
              <w:rPr>
                <w:sz w:val="24"/>
                <w:szCs w:val="24"/>
              </w:rPr>
            </w:pPr>
            <w:r w:rsidRPr="00A24805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1879" w:type="pct"/>
            <w:shd w:val="clear" w:color="auto" w:fill="auto"/>
          </w:tcPr>
          <w:p w:rsidR="00CC224B" w:rsidRPr="00A24805" w:rsidRDefault="00CC224B" w:rsidP="00733734">
            <w:pPr>
              <w:widowControl w:val="0"/>
              <w:jc w:val="both"/>
              <w:rPr>
                <w:rFonts w:eastAsia="Courier New"/>
                <w:sz w:val="24"/>
                <w:szCs w:val="24"/>
              </w:rPr>
            </w:pPr>
            <w:r w:rsidRPr="00A24805">
              <w:rPr>
                <w:rFonts w:eastAsia="Courier New"/>
                <w:sz w:val="24"/>
                <w:szCs w:val="24"/>
              </w:rPr>
              <w:t>Научные сотрудники</w:t>
            </w:r>
          </w:p>
        </w:tc>
        <w:tc>
          <w:tcPr>
            <w:tcW w:w="1020" w:type="pct"/>
            <w:shd w:val="clear" w:color="auto" w:fill="auto"/>
            <w:vAlign w:val="center"/>
          </w:tcPr>
          <w:p w:rsidR="00CC224B" w:rsidRPr="00A24805" w:rsidRDefault="00CC224B" w:rsidP="00733734">
            <w:pPr>
              <w:widowControl w:val="0"/>
              <w:jc w:val="center"/>
              <w:rPr>
                <w:sz w:val="24"/>
                <w:szCs w:val="24"/>
              </w:rPr>
            </w:pPr>
            <w:r w:rsidRPr="00A24805">
              <w:rPr>
                <w:sz w:val="24"/>
                <w:szCs w:val="24"/>
              </w:rPr>
              <w:t>149224,7</w:t>
            </w:r>
          </w:p>
        </w:tc>
        <w:tc>
          <w:tcPr>
            <w:tcW w:w="850" w:type="pct"/>
            <w:shd w:val="clear" w:color="auto" w:fill="auto"/>
            <w:vAlign w:val="center"/>
          </w:tcPr>
          <w:p w:rsidR="00CC224B" w:rsidRPr="00A24805" w:rsidRDefault="00CC224B" w:rsidP="00733734">
            <w:pPr>
              <w:widowControl w:val="0"/>
              <w:jc w:val="center"/>
              <w:rPr>
                <w:sz w:val="24"/>
                <w:szCs w:val="24"/>
              </w:rPr>
            </w:pPr>
            <w:r w:rsidRPr="00A24805">
              <w:rPr>
                <w:sz w:val="24"/>
                <w:szCs w:val="24"/>
              </w:rPr>
              <w:t>200,0</w:t>
            </w:r>
          </w:p>
        </w:tc>
        <w:tc>
          <w:tcPr>
            <w:tcW w:w="1007" w:type="pct"/>
            <w:shd w:val="clear" w:color="auto" w:fill="auto"/>
            <w:vAlign w:val="center"/>
          </w:tcPr>
          <w:p w:rsidR="00CC224B" w:rsidRPr="00A24805" w:rsidRDefault="00CC224B" w:rsidP="00733734">
            <w:pPr>
              <w:widowControl w:val="0"/>
              <w:jc w:val="center"/>
              <w:rPr>
                <w:sz w:val="24"/>
                <w:szCs w:val="24"/>
              </w:rPr>
            </w:pPr>
            <w:r w:rsidRPr="00A24805">
              <w:rPr>
                <w:sz w:val="24"/>
                <w:szCs w:val="24"/>
              </w:rPr>
              <w:t>2,3</w:t>
            </w:r>
            <w:proofErr w:type="gramStart"/>
            <w:r w:rsidRPr="00A24805">
              <w:rPr>
                <w:sz w:val="24"/>
                <w:szCs w:val="24"/>
              </w:rPr>
              <w:t>р</w:t>
            </w:r>
            <w:proofErr w:type="gramEnd"/>
          </w:p>
        </w:tc>
      </w:tr>
      <w:tr w:rsidR="00CC224B" w:rsidRPr="00A20E22" w:rsidTr="003E52CD">
        <w:tc>
          <w:tcPr>
            <w:tcW w:w="244" w:type="pct"/>
            <w:shd w:val="clear" w:color="auto" w:fill="auto"/>
          </w:tcPr>
          <w:p w:rsidR="00CC224B" w:rsidRPr="00A24805" w:rsidRDefault="00CC224B" w:rsidP="00733734">
            <w:pPr>
              <w:widowControl w:val="0"/>
              <w:jc w:val="center"/>
              <w:rPr>
                <w:sz w:val="24"/>
                <w:szCs w:val="24"/>
              </w:rPr>
            </w:pPr>
            <w:r w:rsidRPr="00A24805">
              <w:rPr>
                <w:sz w:val="24"/>
                <w:szCs w:val="24"/>
              </w:rPr>
              <w:t>6</w:t>
            </w:r>
          </w:p>
        </w:tc>
        <w:tc>
          <w:tcPr>
            <w:tcW w:w="1879" w:type="pct"/>
            <w:shd w:val="clear" w:color="auto" w:fill="auto"/>
          </w:tcPr>
          <w:p w:rsidR="00CC224B" w:rsidRPr="00A24805" w:rsidRDefault="00CC224B" w:rsidP="00733734">
            <w:pPr>
              <w:widowControl w:val="0"/>
              <w:jc w:val="both"/>
              <w:rPr>
                <w:rFonts w:eastAsia="Courier New"/>
                <w:sz w:val="24"/>
                <w:szCs w:val="24"/>
              </w:rPr>
            </w:pPr>
            <w:r w:rsidRPr="00A24805">
              <w:rPr>
                <w:rFonts w:eastAsia="Courier New"/>
                <w:sz w:val="24"/>
                <w:szCs w:val="24"/>
              </w:rPr>
              <w:t>Работники учреждений культуры</w:t>
            </w:r>
          </w:p>
        </w:tc>
        <w:tc>
          <w:tcPr>
            <w:tcW w:w="1020" w:type="pct"/>
            <w:shd w:val="clear" w:color="auto" w:fill="auto"/>
            <w:vAlign w:val="center"/>
          </w:tcPr>
          <w:p w:rsidR="00CC224B" w:rsidRPr="00A24805" w:rsidRDefault="00CC224B" w:rsidP="00733734">
            <w:pPr>
              <w:widowControl w:val="0"/>
              <w:jc w:val="center"/>
              <w:rPr>
                <w:sz w:val="24"/>
                <w:szCs w:val="24"/>
              </w:rPr>
            </w:pPr>
            <w:r w:rsidRPr="00A24805">
              <w:rPr>
                <w:sz w:val="24"/>
                <w:szCs w:val="24"/>
              </w:rPr>
              <w:t>70632,8</w:t>
            </w:r>
          </w:p>
        </w:tc>
        <w:tc>
          <w:tcPr>
            <w:tcW w:w="850" w:type="pct"/>
            <w:shd w:val="clear" w:color="auto" w:fill="auto"/>
            <w:vAlign w:val="center"/>
          </w:tcPr>
          <w:p w:rsidR="00CC224B" w:rsidRPr="00A24805" w:rsidRDefault="00CC224B" w:rsidP="00733734">
            <w:pPr>
              <w:widowControl w:val="0"/>
              <w:jc w:val="center"/>
              <w:rPr>
                <w:sz w:val="24"/>
                <w:szCs w:val="24"/>
              </w:rPr>
            </w:pPr>
            <w:r w:rsidRPr="00A24805">
              <w:rPr>
                <w:sz w:val="24"/>
                <w:szCs w:val="24"/>
              </w:rPr>
              <w:t>100,0</w:t>
            </w:r>
          </w:p>
        </w:tc>
        <w:tc>
          <w:tcPr>
            <w:tcW w:w="1007" w:type="pct"/>
            <w:shd w:val="clear" w:color="auto" w:fill="auto"/>
            <w:vAlign w:val="center"/>
          </w:tcPr>
          <w:p w:rsidR="00CC224B" w:rsidRPr="00A20E22" w:rsidRDefault="00CC224B" w:rsidP="00733734">
            <w:pPr>
              <w:widowControl w:val="0"/>
              <w:jc w:val="center"/>
              <w:rPr>
                <w:sz w:val="24"/>
                <w:szCs w:val="24"/>
              </w:rPr>
            </w:pPr>
            <w:r w:rsidRPr="00A24805">
              <w:rPr>
                <w:sz w:val="24"/>
                <w:szCs w:val="24"/>
              </w:rPr>
              <w:t>107,6</w:t>
            </w:r>
          </w:p>
        </w:tc>
      </w:tr>
      <w:tr w:rsidR="00CC224B" w:rsidRPr="00A20E22" w:rsidTr="003E52CD">
        <w:tc>
          <w:tcPr>
            <w:tcW w:w="244" w:type="pct"/>
            <w:shd w:val="clear" w:color="auto" w:fill="auto"/>
          </w:tcPr>
          <w:p w:rsidR="00CC224B" w:rsidRPr="00A20E22" w:rsidRDefault="00CC224B" w:rsidP="00733734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7</w:t>
            </w:r>
          </w:p>
        </w:tc>
        <w:tc>
          <w:tcPr>
            <w:tcW w:w="1879" w:type="pct"/>
            <w:shd w:val="clear" w:color="auto" w:fill="auto"/>
          </w:tcPr>
          <w:p w:rsidR="00CC224B" w:rsidRPr="00A20E22" w:rsidRDefault="00CC224B" w:rsidP="00733734">
            <w:pPr>
              <w:widowControl w:val="0"/>
              <w:jc w:val="both"/>
              <w:rPr>
                <w:rFonts w:eastAsia="Courier New"/>
                <w:sz w:val="24"/>
                <w:szCs w:val="24"/>
              </w:rPr>
            </w:pPr>
            <w:r w:rsidRPr="00A20E22">
              <w:rPr>
                <w:rFonts w:eastAsia="Courier New"/>
                <w:sz w:val="24"/>
                <w:szCs w:val="24"/>
              </w:rPr>
              <w:t>Социальные работники, включая специалистов, осуществляющих предоставление социальных услуг, работников физической культуры и спорта, работников культуры и искусства, педагогических работников учреждений социального обслуживания</w:t>
            </w:r>
          </w:p>
        </w:tc>
        <w:tc>
          <w:tcPr>
            <w:tcW w:w="1020" w:type="pct"/>
            <w:shd w:val="clear" w:color="auto" w:fill="auto"/>
            <w:vAlign w:val="center"/>
          </w:tcPr>
          <w:p w:rsidR="00CC224B" w:rsidRPr="00A20E22" w:rsidRDefault="00CC224B" w:rsidP="00733734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  <w:r w:rsidRPr="00A20E22">
              <w:rPr>
                <w:sz w:val="24"/>
                <w:szCs w:val="24"/>
              </w:rPr>
              <w:t>156,6</w:t>
            </w:r>
          </w:p>
        </w:tc>
        <w:tc>
          <w:tcPr>
            <w:tcW w:w="850" w:type="pct"/>
            <w:shd w:val="clear" w:color="auto" w:fill="auto"/>
            <w:vAlign w:val="center"/>
          </w:tcPr>
          <w:p w:rsidR="00CC224B" w:rsidRPr="00A20E22" w:rsidRDefault="00CC224B" w:rsidP="00733734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100,0</w:t>
            </w:r>
          </w:p>
        </w:tc>
        <w:tc>
          <w:tcPr>
            <w:tcW w:w="1007" w:type="pct"/>
            <w:shd w:val="clear" w:color="auto" w:fill="auto"/>
            <w:vAlign w:val="center"/>
          </w:tcPr>
          <w:p w:rsidR="00CC224B" w:rsidRPr="003E52CD" w:rsidRDefault="00CC224B" w:rsidP="00733734">
            <w:pPr>
              <w:widowControl w:val="0"/>
              <w:jc w:val="center"/>
              <w:rPr>
                <w:sz w:val="24"/>
                <w:szCs w:val="24"/>
              </w:rPr>
            </w:pPr>
            <w:r w:rsidRPr="003E52CD">
              <w:rPr>
                <w:sz w:val="24"/>
                <w:szCs w:val="24"/>
              </w:rPr>
              <w:t>102,3</w:t>
            </w:r>
          </w:p>
        </w:tc>
      </w:tr>
      <w:tr w:rsidR="00CC224B" w:rsidRPr="00A20E22" w:rsidTr="003E52CD">
        <w:tc>
          <w:tcPr>
            <w:tcW w:w="244" w:type="pct"/>
            <w:shd w:val="clear" w:color="auto" w:fill="auto"/>
          </w:tcPr>
          <w:p w:rsidR="00CC224B" w:rsidRPr="00A20E22" w:rsidRDefault="00CC224B" w:rsidP="00733734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8</w:t>
            </w:r>
          </w:p>
        </w:tc>
        <w:tc>
          <w:tcPr>
            <w:tcW w:w="1879" w:type="pct"/>
            <w:shd w:val="clear" w:color="auto" w:fill="auto"/>
          </w:tcPr>
          <w:p w:rsidR="00CC224B" w:rsidRPr="00A20E22" w:rsidRDefault="00CC224B" w:rsidP="00733734">
            <w:pPr>
              <w:widowControl w:val="0"/>
              <w:jc w:val="both"/>
              <w:rPr>
                <w:rFonts w:eastAsia="Courier New"/>
                <w:sz w:val="24"/>
                <w:szCs w:val="24"/>
              </w:rPr>
            </w:pPr>
            <w:r w:rsidRPr="00A20E22">
              <w:rPr>
                <w:rFonts w:eastAsia="Courier New"/>
                <w:sz w:val="24"/>
                <w:szCs w:val="24"/>
              </w:rPr>
              <w:t>Врачи и работники медицинских организаций, имеющие высшее (фармацевтическое) образование</w:t>
            </w:r>
          </w:p>
        </w:tc>
        <w:tc>
          <w:tcPr>
            <w:tcW w:w="1020" w:type="pct"/>
            <w:shd w:val="clear" w:color="auto" w:fill="auto"/>
            <w:vAlign w:val="center"/>
          </w:tcPr>
          <w:p w:rsidR="00CC224B" w:rsidRPr="00A20E22" w:rsidRDefault="00CC224B" w:rsidP="00733734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</w:t>
            </w:r>
            <w:r w:rsidRPr="00A20E22">
              <w:rPr>
                <w:sz w:val="24"/>
                <w:szCs w:val="24"/>
              </w:rPr>
              <w:t>327,9</w:t>
            </w:r>
          </w:p>
        </w:tc>
        <w:tc>
          <w:tcPr>
            <w:tcW w:w="850" w:type="pct"/>
            <w:shd w:val="clear" w:color="auto" w:fill="auto"/>
            <w:vAlign w:val="center"/>
          </w:tcPr>
          <w:p w:rsidR="00CC224B" w:rsidRPr="00A20E22" w:rsidRDefault="00CC224B" w:rsidP="00733734">
            <w:pPr>
              <w:jc w:val="center"/>
              <w:rPr>
                <w:rFonts w:eastAsia="Calibri"/>
                <w:sz w:val="24"/>
                <w:szCs w:val="24"/>
              </w:rPr>
            </w:pPr>
            <w:r w:rsidRPr="00A20E22">
              <w:rPr>
                <w:rFonts w:eastAsia="Calibri"/>
                <w:sz w:val="24"/>
                <w:szCs w:val="24"/>
              </w:rPr>
              <w:t>200,0</w:t>
            </w:r>
          </w:p>
        </w:tc>
        <w:tc>
          <w:tcPr>
            <w:tcW w:w="1007" w:type="pct"/>
            <w:shd w:val="clear" w:color="auto" w:fill="auto"/>
            <w:vAlign w:val="center"/>
          </w:tcPr>
          <w:p w:rsidR="00CC224B" w:rsidRPr="003E52CD" w:rsidRDefault="00CC224B" w:rsidP="00733734">
            <w:pPr>
              <w:jc w:val="center"/>
              <w:rPr>
                <w:rFonts w:eastAsia="Calibri"/>
                <w:sz w:val="24"/>
                <w:szCs w:val="24"/>
              </w:rPr>
            </w:pPr>
            <w:r w:rsidRPr="003E52CD">
              <w:rPr>
                <w:rFonts w:eastAsia="Calibri"/>
                <w:sz w:val="24"/>
                <w:szCs w:val="24"/>
              </w:rPr>
              <w:t>2,0</w:t>
            </w:r>
            <w:proofErr w:type="gramStart"/>
            <w:r w:rsidRPr="003E52CD">
              <w:rPr>
                <w:rFonts w:eastAsia="Calibri"/>
                <w:sz w:val="24"/>
                <w:szCs w:val="24"/>
              </w:rPr>
              <w:t>р</w:t>
            </w:r>
            <w:proofErr w:type="gramEnd"/>
          </w:p>
        </w:tc>
      </w:tr>
      <w:tr w:rsidR="00CC224B" w:rsidRPr="00A20E22" w:rsidTr="003E52CD">
        <w:tc>
          <w:tcPr>
            <w:tcW w:w="244" w:type="pct"/>
            <w:shd w:val="clear" w:color="auto" w:fill="auto"/>
          </w:tcPr>
          <w:p w:rsidR="00CC224B" w:rsidRPr="00A20E22" w:rsidRDefault="00CC224B" w:rsidP="00733734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9</w:t>
            </w:r>
          </w:p>
        </w:tc>
        <w:tc>
          <w:tcPr>
            <w:tcW w:w="1879" w:type="pct"/>
            <w:shd w:val="clear" w:color="auto" w:fill="auto"/>
          </w:tcPr>
          <w:p w:rsidR="00CC224B" w:rsidRPr="00A20E22" w:rsidRDefault="00CC224B" w:rsidP="00733734">
            <w:pPr>
              <w:widowControl w:val="0"/>
              <w:jc w:val="both"/>
              <w:rPr>
                <w:rFonts w:eastAsia="Courier New"/>
                <w:sz w:val="24"/>
                <w:szCs w:val="24"/>
              </w:rPr>
            </w:pPr>
            <w:proofErr w:type="gramStart"/>
            <w:r w:rsidRPr="00A20E22">
              <w:rPr>
                <w:rFonts w:eastAsia="Courier New"/>
                <w:sz w:val="24"/>
                <w:szCs w:val="24"/>
              </w:rPr>
              <w:t>Средний медицинский (фармацевтический) персонал (персонал, обеспечивающий условия для предоставления медицинских услуг) государственных (муниципальных) медицинских организаций</w:t>
            </w:r>
            <w:proofErr w:type="gramEnd"/>
          </w:p>
        </w:tc>
        <w:tc>
          <w:tcPr>
            <w:tcW w:w="1020" w:type="pct"/>
            <w:shd w:val="clear" w:color="auto" w:fill="auto"/>
            <w:vAlign w:val="center"/>
          </w:tcPr>
          <w:p w:rsidR="00CC224B" w:rsidRPr="00A20E22" w:rsidRDefault="00CC224B" w:rsidP="00733734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  <w:r w:rsidRPr="00A20E22">
              <w:rPr>
                <w:sz w:val="24"/>
                <w:szCs w:val="24"/>
              </w:rPr>
              <w:t>178,0</w:t>
            </w:r>
          </w:p>
        </w:tc>
        <w:tc>
          <w:tcPr>
            <w:tcW w:w="850" w:type="pct"/>
            <w:shd w:val="clear" w:color="auto" w:fill="auto"/>
            <w:vAlign w:val="center"/>
          </w:tcPr>
          <w:p w:rsidR="00CC224B" w:rsidRPr="00A20E22" w:rsidRDefault="00CC224B" w:rsidP="00733734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100,0</w:t>
            </w:r>
          </w:p>
        </w:tc>
        <w:tc>
          <w:tcPr>
            <w:tcW w:w="1007" w:type="pct"/>
            <w:shd w:val="clear" w:color="auto" w:fill="auto"/>
            <w:vAlign w:val="center"/>
          </w:tcPr>
          <w:p w:rsidR="00CC224B" w:rsidRPr="003E52CD" w:rsidRDefault="00CC224B" w:rsidP="00733734">
            <w:pPr>
              <w:widowControl w:val="0"/>
              <w:jc w:val="center"/>
              <w:rPr>
                <w:sz w:val="24"/>
                <w:szCs w:val="24"/>
              </w:rPr>
            </w:pPr>
            <w:r w:rsidRPr="003E52CD">
              <w:rPr>
                <w:sz w:val="24"/>
                <w:szCs w:val="24"/>
              </w:rPr>
              <w:t>103,8</w:t>
            </w:r>
          </w:p>
        </w:tc>
      </w:tr>
      <w:tr w:rsidR="00CC224B" w:rsidRPr="00A20E22" w:rsidTr="003E52CD">
        <w:tc>
          <w:tcPr>
            <w:tcW w:w="244" w:type="pct"/>
            <w:shd w:val="clear" w:color="auto" w:fill="auto"/>
          </w:tcPr>
          <w:p w:rsidR="00CC224B" w:rsidRPr="00A20E22" w:rsidRDefault="00CC224B" w:rsidP="00733734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10</w:t>
            </w:r>
          </w:p>
        </w:tc>
        <w:tc>
          <w:tcPr>
            <w:tcW w:w="1879" w:type="pct"/>
            <w:shd w:val="clear" w:color="auto" w:fill="auto"/>
          </w:tcPr>
          <w:p w:rsidR="00CC224B" w:rsidRPr="00A20E22" w:rsidRDefault="00CC224B" w:rsidP="00733734">
            <w:pPr>
              <w:widowControl w:val="0"/>
              <w:jc w:val="both"/>
              <w:rPr>
                <w:rFonts w:eastAsia="Courier New"/>
                <w:sz w:val="24"/>
                <w:szCs w:val="24"/>
              </w:rPr>
            </w:pPr>
            <w:r w:rsidRPr="00A20E22">
              <w:rPr>
                <w:rFonts w:eastAsia="Courier New"/>
                <w:sz w:val="24"/>
                <w:szCs w:val="24"/>
              </w:rPr>
              <w:t>Младший медицинский персонал (персонал, обеспечивающий условия для предоставления медицинских услуг) государственных (муниципальных) медицинских организаций</w:t>
            </w:r>
          </w:p>
        </w:tc>
        <w:tc>
          <w:tcPr>
            <w:tcW w:w="1020" w:type="pct"/>
            <w:shd w:val="clear" w:color="auto" w:fill="auto"/>
            <w:vAlign w:val="center"/>
          </w:tcPr>
          <w:p w:rsidR="00CC224B" w:rsidRPr="00A20E22" w:rsidRDefault="00CC224B" w:rsidP="00733734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  <w:r w:rsidRPr="00A20E22">
              <w:rPr>
                <w:sz w:val="24"/>
                <w:szCs w:val="24"/>
              </w:rPr>
              <w:t>125,9</w:t>
            </w:r>
          </w:p>
        </w:tc>
        <w:tc>
          <w:tcPr>
            <w:tcW w:w="850" w:type="pct"/>
            <w:shd w:val="clear" w:color="auto" w:fill="auto"/>
            <w:vAlign w:val="center"/>
          </w:tcPr>
          <w:p w:rsidR="00CC224B" w:rsidRPr="00A20E22" w:rsidRDefault="00CC224B" w:rsidP="00733734">
            <w:pPr>
              <w:jc w:val="center"/>
              <w:rPr>
                <w:rFonts w:eastAsia="Calibri"/>
                <w:sz w:val="24"/>
                <w:szCs w:val="24"/>
              </w:rPr>
            </w:pPr>
            <w:r w:rsidRPr="00A20E22">
              <w:rPr>
                <w:rFonts w:eastAsia="Calibri"/>
                <w:sz w:val="24"/>
                <w:szCs w:val="24"/>
              </w:rPr>
              <w:t>100,00</w:t>
            </w:r>
          </w:p>
        </w:tc>
        <w:tc>
          <w:tcPr>
            <w:tcW w:w="1007" w:type="pct"/>
            <w:shd w:val="clear" w:color="auto" w:fill="auto"/>
            <w:vAlign w:val="center"/>
          </w:tcPr>
          <w:p w:rsidR="00CC224B" w:rsidRPr="003E52CD" w:rsidRDefault="00CC224B" w:rsidP="00733734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CC224B" w:rsidRPr="003E52CD" w:rsidRDefault="00CC224B" w:rsidP="00733734">
            <w:pPr>
              <w:jc w:val="center"/>
              <w:rPr>
                <w:rFonts w:eastAsia="Calibri"/>
                <w:sz w:val="24"/>
                <w:szCs w:val="24"/>
              </w:rPr>
            </w:pPr>
            <w:r w:rsidRPr="003E52CD">
              <w:rPr>
                <w:rFonts w:eastAsia="Calibri"/>
                <w:sz w:val="24"/>
                <w:szCs w:val="24"/>
              </w:rPr>
              <w:t>100,7</w:t>
            </w:r>
          </w:p>
          <w:p w:rsidR="00CC224B" w:rsidRPr="003E52CD" w:rsidRDefault="00CC224B" w:rsidP="0073373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CC224B" w:rsidRPr="00A20E22" w:rsidTr="00733734">
        <w:tc>
          <w:tcPr>
            <w:tcW w:w="5000" w:type="pct"/>
            <w:gridSpan w:val="5"/>
            <w:shd w:val="clear" w:color="auto" w:fill="auto"/>
            <w:vAlign w:val="center"/>
          </w:tcPr>
          <w:p w:rsidR="00CC224B" w:rsidRPr="00A20E22" w:rsidRDefault="00CC224B" w:rsidP="00733734">
            <w:pPr>
              <w:widowControl w:val="0"/>
              <w:jc w:val="center"/>
              <w:rPr>
                <w:rFonts w:eastAsia="Courier New"/>
                <w:sz w:val="24"/>
                <w:szCs w:val="24"/>
              </w:rPr>
            </w:pPr>
            <w:r w:rsidRPr="00A20E22">
              <w:rPr>
                <w:rFonts w:eastAsia="Courier New"/>
                <w:sz w:val="24"/>
                <w:szCs w:val="24"/>
              </w:rPr>
              <w:t>Указ Президента Российской Федерации от 28 декабря 2012 года № 1688</w:t>
            </w:r>
          </w:p>
          <w:p w:rsidR="00CC224B" w:rsidRPr="00A20E22" w:rsidRDefault="00CC224B" w:rsidP="00733734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rFonts w:eastAsia="Courier New"/>
                <w:sz w:val="24"/>
                <w:szCs w:val="24"/>
              </w:rPr>
              <w:t>«О некоторых мерах по реализации государственной политики в сфере защиты детей-сирот и детей, оставшихся без попечения родителей»</w:t>
            </w:r>
          </w:p>
        </w:tc>
      </w:tr>
      <w:tr w:rsidR="00CC224B" w:rsidRPr="00A20E22" w:rsidTr="003E52CD">
        <w:tc>
          <w:tcPr>
            <w:tcW w:w="244" w:type="pct"/>
            <w:shd w:val="clear" w:color="auto" w:fill="auto"/>
          </w:tcPr>
          <w:p w:rsidR="00CC224B" w:rsidRPr="00A20E22" w:rsidRDefault="00CC224B" w:rsidP="00733734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11</w:t>
            </w:r>
          </w:p>
        </w:tc>
        <w:tc>
          <w:tcPr>
            <w:tcW w:w="1879" w:type="pct"/>
            <w:shd w:val="clear" w:color="auto" w:fill="auto"/>
          </w:tcPr>
          <w:p w:rsidR="00CC224B" w:rsidRPr="00A20E22" w:rsidRDefault="00CC224B" w:rsidP="00733734">
            <w:pPr>
              <w:widowControl w:val="0"/>
              <w:jc w:val="both"/>
              <w:rPr>
                <w:rFonts w:eastAsia="Courier New"/>
                <w:sz w:val="24"/>
                <w:szCs w:val="24"/>
              </w:rPr>
            </w:pPr>
            <w:r w:rsidRPr="00A20E22">
              <w:rPr>
                <w:rFonts w:eastAsia="Courier New"/>
                <w:sz w:val="24"/>
                <w:szCs w:val="24"/>
              </w:rPr>
              <w:t xml:space="preserve">Педагогические работники образовательных, медицинских </w:t>
            </w:r>
            <w:r w:rsidRPr="00A20E22">
              <w:rPr>
                <w:rFonts w:eastAsia="Courier New"/>
                <w:sz w:val="24"/>
                <w:szCs w:val="24"/>
              </w:rPr>
              <w:lastRenderedPageBreak/>
              <w:t>организаций или организаций, оказывающих социальные услуги детям-сиротам и детям, оставшимся без попечения родителей</w:t>
            </w:r>
          </w:p>
        </w:tc>
        <w:tc>
          <w:tcPr>
            <w:tcW w:w="1020" w:type="pct"/>
            <w:shd w:val="clear" w:color="auto" w:fill="auto"/>
            <w:vAlign w:val="center"/>
          </w:tcPr>
          <w:p w:rsidR="00CC224B" w:rsidRPr="00A20E22" w:rsidRDefault="00CC224B" w:rsidP="00733734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lastRenderedPageBreak/>
              <w:t>х</w:t>
            </w:r>
            <w:r w:rsidRPr="00A20E22">
              <w:rPr>
                <w:rStyle w:val="a8"/>
              </w:rPr>
              <w:footnoteReference w:id="31"/>
            </w:r>
          </w:p>
        </w:tc>
        <w:tc>
          <w:tcPr>
            <w:tcW w:w="850" w:type="pct"/>
            <w:shd w:val="clear" w:color="auto" w:fill="auto"/>
            <w:vAlign w:val="center"/>
          </w:tcPr>
          <w:p w:rsidR="00CC224B" w:rsidRPr="00A20E22" w:rsidRDefault="00CC224B" w:rsidP="00733734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100,0</w:t>
            </w:r>
          </w:p>
        </w:tc>
        <w:tc>
          <w:tcPr>
            <w:tcW w:w="1007" w:type="pct"/>
            <w:shd w:val="clear" w:color="auto" w:fill="auto"/>
            <w:vAlign w:val="center"/>
          </w:tcPr>
          <w:p w:rsidR="00CC224B" w:rsidRPr="00A20E22" w:rsidRDefault="00CC224B" w:rsidP="00733734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х</w:t>
            </w:r>
          </w:p>
        </w:tc>
      </w:tr>
      <w:tr w:rsidR="00CC224B" w:rsidRPr="00A20E22" w:rsidTr="00733734">
        <w:tc>
          <w:tcPr>
            <w:tcW w:w="5000" w:type="pct"/>
            <w:gridSpan w:val="5"/>
            <w:shd w:val="clear" w:color="auto" w:fill="auto"/>
            <w:vAlign w:val="center"/>
          </w:tcPr>
          <w:p w:rsidR="00CC224B" w:rsidRPr="00A20E22" w:rsidRDefault="00CC224B" w:rsidP="00733734">
            <w:pPr>
              <w:widowControl w:val="0"/>
              <w:jc w:val="center"/>
              <w:rPr>
                <w:rFonts w:eastAsia="Courier New"/>
                <w:sz w:val="24"/>
                <w:szCs w:val="24"/>
              </w:rPr>
            </w:pPr>
            <w:r w:rsidRPr="00A20E22">
              <w:rPr>
                <w:rFonts w:eastAsia="Courier New"/>
                <w:sz w:val="24"/>
                <w:szCs w:val="24"/>
              </w:rPr>
              <w:lastRenderedPageBreak/>
              <w:t>Указ Президента Российской Федерации от 1 июня 2012 года № 761</w:t>
            </w:r>
          </w:p>
          <w:p w:rsidR="00CC224B" w:rsidRPr="00A20E22" w:rsidRDefault="00CC224B" w:rsidP="00733734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rFonts w:eastAsia="Courier New"/>
                <w:sz w:val="24"/>
                <w:szCs w:val="24"/>
              </w:rPr>
              <w:t>«О Национальной стратегии действий в интересах детей на 2012 – 2017 годы»</w:t>
            </w:r>
          </w:p>
        </w:tc>
      </w:tr>
      <w:tr w:rsidR="00CC224B" w:rsidRPr="00A20E22" w:rsidTr="003E52CD">
        <w:tc>
          <w:tcPr>
            <w:tcW w:w="244" w:type="pct"/>
            <w:shd w:val="clear" w:color="auto" w:fill="auto"/>
          </w:tcPr>
          <w:p w:rsidR="00CC224B" w:rsidRPr="00A20E22" w:rsidRDefault="00CC224B" w:rsidP="00733734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12</w:t>
            </w:r>
          </w:p>
        </w:tc>
        <w:tc>
          <w:tcPr>
            <w:tcW w:w="1879" w:type="pct"/>
            <w:shd w:val="clear" w:color="auto" w:fill="auto"/>
          </w:tcPr>
          <w:p w:rsidR="00CC224B" w:rsidRPr="00A20E22" w:rsidRDefault="00CC224B" w:rsidP="00733734">
            <w:pPr>
              <w:widowControl w:val="0"/>
              <w:jc w:val="both"/>
              <w:rPr>
                <w:rFonts w:eastAsia="Courier New"/>
                <w:sz w:val="24"/>
                <w:szCs w:val="24"/>
              </w:rPr>
            </w:pPr>
            <w:r w:rsidRPr="00A20E22">
              <w:rPr>
                <w:rFonts w:eastAsia="Courier New"/>
                <w:sz w:val="24"/>
                <w:szCs w:val="24"/>
              </w:rPr>
              <w:t>Педагогические работники учреждений дополнительного образования детей (отношение к средней заработной плате учителей)</w:t>
            </w:r>
            <w:r w:rsidRPr="00A20E22">
              <w:rPr>
                <w:rStyle w:val="a8"/>
                <w:rFonts w:eastAsia="Courier New"/>
              </w:rPr>
              <w:footnoteReference w:id="32"/>
            </w:r>
            <w:r w:rsidRPr="00A20E22">
              <w:rPr>
                <w:rFonts w:eastAsia="Courier New"/>
                <w:sz w:val="24"/>
                <w:szCs w:val="24"/>
              </w:rPr>
              <w:t xml:space="preserve"> </w:t>
            </w:r>
          </w:p>
        </w:tc>
        <w:tc>
          <w:tcPr>
            <w:tcW w:w="1020" w:type="pct"/>
            <w:shd w:val="clear" w:color="auto" w:fill="auto"/>
            <w:vAlign w:val="center"/>
          </w:tcPr>
          <w:p w:rsidR="00CC224B" w:rsidRPr="00A20E22" w:rsidRDefault="00CC224B" w:rsidP="00733734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  <w:r w:rsidRPr="00A20E22">
              <w:rPr>
                <w:sz w:val="24"/>
                <w:szCs w:val="24"/>
              </w:rPr>
              <w:t>640,6</w:t>
            </w:r>
          </w:p>
        </w:tc>
        <w:tc>
          <w:tcPr>
            <w:tcW w:w="850" w:type="pct"/>
            <w:shd w:val="clear" w:color="auto" w:fill="auto"/>
            <w:vAlign w:val="center"/>
          </w:tcPr>
          <w:p w:rsidR="00CC224B" w:rsidRPr="00A20E22" w:rsidRDefault="00CC224B" w:rsidP="00733734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100,0</w:t>
            </w:r>
          </w:p>
        </w:tc>
        <w:tc>
          <w:tcPr>
            <w:tcW w:w="1007" w:type="pct"/>
            <w:shd w:val="clear" w:color="auto" w:fill="auto"/>
            <w:vAlign w:val="center"/>
          </w:tcPr>
          <w:p w:rsidR="00CC224B" w:rsidRPr="00A20E22" w:rsidRDefault="00CC224B" w:rsidP="00733734">
            <w:pPr>
              <w:widowControl w:val="0"/>
              <w:jc w:val="center"/>
              <w:rPr>
                <w:sz w:val="24"/>
                <w:szCs w:val="24"/>
              </w:rPr>
            </w:pPr>
            <w:r w:rsidRPr="003E52CD">
              <w:rPr>
                <w:sz w:val="24"/>
                <w:szCs w:val="24"/>
              </w:rPr>
              <w:t>86,6</w:t>
            </w:r>
          </w:p>
        </w:tc>
      </w:tr>
    </w:tbl>
    <w:p w:rsidR="00CC224B" w:rsidRPr="00A20E22" w:rsidRDefault="00CC224B" w:rsidP="00CC224B">
      <w:pPr>
        <w:widowControl w:val="0"/>
        <w:jc w:val="both"/>
        <w:rPr>
          <w:sz w:val="28"/>
          <w:szCs w:val="28"/>
        </w:rPr>
      </w:pPr>
    </w:p>
    <w:p w:rsidR="00CC224B" w:rsidRPr="00A20E22" w:rsidRDefault="00CC224B" w:rsidP="00CC224B">
      <w:pPr>
        <w:pStyle w:val="2"/>
        <w:numPr>
          <w:ilvl w:val="0"/>
          <w:numId w:val="0"/>
        </w:numPr>
        <w:rPr>
          <w:rFonts w:eastAsiaTheme="majorEastAsia"/>
          <w:color w:val="auto"/>
        </w:rPr>
      </w:pPr>
      <w:r w:rsidRPr="00A20E22">
        <w:rPr>
          <w:rFonts w:eastAsiaTheme="majorEastAsia"/>
          <w:color w:val="auto"/>
        </w:rPr>
        <w:t>Пенсионное обеспечение</w:t>
      </w:r>
    </w:p>
    <w:p w:rsidR="00CC224B" w:rsidRPr="00A20E22" w:rsidRDefault="00CC224B" w:rsidP="00CC224B">
      <w:pPr>
        <w:jc w:val="both"/>
        <w:rPr>
          <w:sz w:val="26"/>
          <w:szCs w:val="26"/>
        </w:rPr>
      </w:pPr>
    </w:p>
    <w:p w:rsidR="00CC224B" w:rsidRPr="00A20E22" w:rsidRDefault="00CC224B" w:rsidP="00CC224B">
      <w:pPr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>Численность получателей пенсий, состоящих на учете в Государственном учреждении – Отделение Пенсионного фонда РФ по автономному округу, по состоянию на 1 июля 2019 года составила 443,6 тыс. человек или 26,7 % от общей численности постоянного населения автономного округа. Из них получателей доплат из средств бюджета автономного округа к государственной пенсии – 174,2 тыс. человек.</w:t>
      </w:r>
    </w:p>
    <w:p w:rsidR="00CC224B" w:rsidRPr="00A20E22" w:rsidRDefault="00CC224B" w:rsidP="00CC224B">
      <w:pPr>
        <w:ind w:firstLine="708"/>
        <w:jc w:val="both"/>
        <w:rPr>
          <w:sz w:val="26"/>
          <w:szCs w:val="26"/>
        </w:rPr>
      </w:pPr>
      <w:r w:rsidRPr="00A20E22">
        <w:rPr>
          <w:sz w:val="26"/>
          <w:szCs w:val="26"/>
        </w:rPr>
        <w:t>В соответствии с федеральным законодательством страховые пенсии неработающих пенсионеров с 1 января 2019 года проиндексированы на 7,05</w:t>
      </w:r>
      <w:r>
        <w:rPr>
          <w:sz w:val="26"/>
          <w:szCs w:val="26"/>
        </w:rPr>
        <w:t xml:space="preserve"> </w:t>
      </w:r>
      <w:r w:rsidRPr="00A20E22">
        <w:rPr>
          <w:sz w:val="26"/>
          <w:szCs w:val="26"/>
        </w:rPr>
        <w:t>%</w:t>
      </w:r>
      <w:r w:rsidRPr="00A20E22">
        <w:rPr>
          <w:rStyle w:val="a8"/>
          <w:sz w:val="26"/>
          <w:szCs w:val="26"/>
        </w:rPr>
        <w:footnoteReference w:id="33"/>
      </w:r>
      <w:r w:rsidRPr="00A20E22">
        <w:rPr>
          <w:sz w:val="26"/>
          <w:szCs w:val="26"/>
        </w:rPr>
        <w:t>.</w:t>
      </w:r>
    </w:p>
    <w:p w:rsidR="00CC224B" w:rsidRPr="00A20E22" w:rsidRDefault="00CC224B" w:rsidP="00CC224B">
      <w:pPr>
        <w:ind w:firstLine="708"/>
        <w:jc w:val="both"/>
        <w:rPr>
          <w:sz w:val="26"/>
          <w:szCs w:val="26"/>
        </w:rPr>
      </w:pPr>
      <w:r w:rsidRPr="00A20E22">
        <w:rPr>
          <w:sz w:val="26"/>
          <w:szCs w:val="26"/>
        </w:rPr>
        <w:t xml:space="preserve">Укрепление финансовой базы пенсионной системы и возможность бюджета автономного округа на выплату доплат к страховым пенсиям неработающим пенсионерам, проживающим на территории автономного округа, </w:t>
      </w:r>
      <w:r w:rsidRPr="003E52CD">
        <w:rPr>
          <w:sz w:val="26"/>
          <w:szCs w:val="26"/>
        </w:rPr>
        <w:t>позволили установить средний доход пенсионера на конец отчетного периода в размере                21321,3 рубля, что составляет 169,0 % к величине прожиточного</w:t>
      </w:r>
      <w:r w:rsidRPr="00A20E22">
        <w:rPr>
          <w:sz w:val="26"/>
          <w:szCs w:val="26"/>
        </w:rPr>
        <w:t xml:space="preserve"> минимума пенсионера. </w:t>
      </w:r>
    </w:p>
    <w:p w:rsidR="0019687C" w:rsidRPr="00A20E22" w:rsidRDefault="0019687C" w:rsidP="003F607B">
      <w:pPr>
        <w:widowControl w:val="0"/>
        <w:jc w:val="both"/>
        <w:rPr>
          <w:sz w:val="28"/>
          <w:szCs w:val="28"/>
        </w:rPr>
      </w:pPr>
    </w:p>
    <w:p w:rsidR="007F033E" w:rsidRPr="00A20E22" w:rsidRDefault="007F033E" w:rsidP="001B58EA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eastAsiaTheme="majorEastAsia" w:hAnsi="Times New Roman"/>
          <w:b w:val="0"/>
          <w:sz w:val="26"/>
          <w:szCs w:val="26"/>
        </w:rPr>
      </w:pPr>
      <w:bookmarkStart w:id="16" w:name="_Toc10912551"/>
      <w:r w:rsidRPr="00A20E22">
        <w:rPr>
          <w:rFonts w:ascii="Times New Roman" w:eastAsiaTheme="majorEastAsia" w:hAnsi="Times New Roman"/>
          <w:b w:val="0"/>
          <w:sz w:val="26"/>
          <w:szCs w:val="26"/>
        </w:rPr>
        <w:t>Потребительский рынок</w:t>
      </w:r>
      <w:bookmarkEnd w:id="16"/>
    </w:p>
    <w:p w:rsidR="007F033E" w:rsidRPr="00A20E22" w:rsidRDefault="007F033E" w:rsidP="007F033E">
      <w:pPr>
        <w:widowControl w:val="0"/>
        <w:ind w:firstLine="709"/>
        <w:jc w:val="center"/>
        <w:rPr>
          <w:sz w:val="26"/>
          <w:szCs w:val="26"/>
        </w:rPr>
      </w:pPr>
    </w:p>
    <w:p w:rsidR="007F033E" w:rsidRPr="00A20E22" w:rsidRDefault="007F033E" w:rsidP="001B58EA">
      <w:pPr>
        <w:pStyle w:val="2"/>
        <w:numPr>
          <w:ilvl w:val="0"/>
          <w:numId w:val="0"/>
        </w:numPr>
        <w:rPr>
          <w:rFonts w:eastAsiaTheme="majorEastAsia"/>
          <w:color w:val="auto"/>
        </w:rPr>
      </w:pPr>
      <w:bookmarkStart w:id="17" w:name="_Toc10912552"/>
      <w:r w:rsidRPr="00A20E22">
        <w:rPr>
          <w:rFonts w:eastAsiaTheme="majorEastAsia"/>
          <w:color w:val="auto"/>
        </w:rPr>
        <w:t>Инфляция и цены</w:t>
      </w:r>
      <w:bookmarkEnd w:id="17"/>
    </w:p>
    <w:p w:rsidR="007F033E" w:rsidRPr="00A20E22" w:rsidRDefault="007F033E" w:rsidP="007F033E">
      <w:pPr>
        <w:widowControl w:val="0"/>
        <w:ind w:firstLine="709"/>
        <w:jc w:val="center"/>
      </w:pPr>
    </w:p>
    <w:p w:rsidR="00C34871" w:rsidRPr="00A20E22" w:rsidRDefault="00C34871" w:rsidP="00C34871">
      <w:pPr>
        <w:widowControl w:val="0"/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>Индекс потребительских цен в июне 2019 года к декабрю предыдущего года – 102,1 % (РФ – 102,5 %).</w:t>
      </w:r>
    </w:p>
    <w:p w:rsidR="00940A54" w:rsidRDefault="00940A54" w:rsidP="00C34871">
      <w:pPr>
        <w:widowControl w:val="0"/>
        <w:jc w:val="right"/>
        <w:rPr>
          <w:sz w:val="26"/>
          <w:szCs w:val="26"/>
        </w:rPr>
      </w:pPr>
    </w:p>
    <w:p w:rsidR="00940A54" w:rsidRDefault="00940A54" w:rsidP="00C34871">
      <w:pPr>
        <w:widowControl w:val="0"/>
        <w:jc w:val="right"/>
        <w:rPr>
          <w:sz w:val="26"/>
          <w:szCs w:val="26"/>
        </w:rPr>
      </w:pPr>
    </w:p>
    <w:p w:rsidR="00C34871" w:rsidRPr="00A20E22" w:rsidRDefault="00C34871" w:rsidP="00C34871">
      <w:pPr>
        <w:widowControl w:val="0"/>
        <w:jc w:val="right"/>
        <w:rPr>
          <w:sz w:val="26"/>
          <w:szCs w:val="26"/>
        </w:rPr>
      </w:pPr>
      <w:r w:rsidRPr="00A20E22">
        <w:rPr>
          <w:sz w:val="26"/>
          <w:szCs w:val="26"/>
        </w:rPr>
        <w:lastRenderedPageBreak/>
        <w:t>Таблица 7</w:t>
      </w:r>
    </w:p>
    <w:p w:rsidR="00C34871" w:rsidRPr="00A20E22" w:rsidRDefault="00C34871" w:rsidP="00C34871">
      <w:pPr>
        <w:widowControl w:val="0"/>
        <w:jc w:val="center"/>
        <w:rPr>
          <w:sz w:val="26"/>
          <w:szCs w:val="26"/>
        </w:rPr>
      </w:pPr>
      <w:r w:rsidRPr="00A20E22">
        <w:rPr>
          <w:sz w:val="26"/>
          <w:szCs w:val="26"/>
        </w:rPr>
        <w:t xml:space="preserve">Динамика структуры индекса потребительских цен </w:t>
      </w:r>
    </w:p>
    <w:p w:rsidR="00C34871" w:rsidRPr="00A20E22" w:rsidRDefault="00C34871" w:rsidP="00C34871">
      <w:pPr>
        <w:widowControl w:val="0"/>
        <w:jc w:val="center"/>
        <w:rPr>
          <w:sz w:val="26"/>
          <w:szCs w:val="26"/>
        </w:rPr>
      </w:pPr>
      <w:r w:rsidRPr="00A20E22">
        <w:rPr>
          <w:sz w:val="26"/>
          <w:szCs w:val="26"/>
        </w:rPr>
        <w:t>в июне 2019 года к декабрю 2018 года, %</w:t>
      </w:r>
    </w:p>
    <w:p w:rsidR="00C34871" w:rsidRPr="00A20E22" w:rsidRDefault="00C34871" w:rsidP="00C34871">
      <w:pPr>
        <w:widowControl w:val="0"/>
        <w:jc w:val="center"/>
        <w:rPr>
          <w:sz w:val="26"/>
          <w:szCs w:val="26"/>
        </w:rPr>
      </w:pPr>
    </w:p>
    <w:p w:rsidR="00C34871" w:rsidRPr="00A20E22" w:rsidRDefault="00C34871" w:rsidP="00C34871">
      <w:pPr>
        <w:widowControl w:val="0"/>
        <w:jc w:val="right"/>
        <w:rPr>
          <w:sz w:val="26"/>
          <w:szCs w:val="26"/>
        </w:rPr>
      </w:pPr>
      <w:r w:rsidRPr="00A20E22">
        <w:rPr>
          <w:sz w:val="26"/>
          <w:szCs w:val="26"/>
        </w:rPr>
        <w:t>в процентах к декабрю предыдущего года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06"/>
        <w:gridCol w:w="1489"/>
        <w:gridCol w:w="1489"/>
        <w:gridCol w:w="1489"/>
        <w:gridCol w:w="1487"/>
      </w:tblGrid>
      <w:tr w:rsidR="00A20E22" w:rsidRPr="00A20E22" w:rsidTr="00C57418">
        <w:tc>
          <w:tcPr>
            <w:tcW w:w="18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4871" w:rsidRPr="00A20E22" w:rsidRDefault="00C34871" w:rsidP="00C57418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Показатели</w:t>
            </w:r>
          </w:p>
        </w:tc>
        <w:tc>
          <w:tcPr>
            <w:tcW w:w="15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71" w:rsidRPr="00A20E22" w:rsidRDefault="00C34871" w:rsidP="00C57418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Российская Федерация</w:t>
            </w:r>
          </w:p>
        </w:tc>
        <w:tc>
          <w:tcPr>
            <w:tcW w:w="1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71" w:rsidRPr="00A20E22" w:rsidRDefault="00C34871" w:rsidP="00C57418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Югра</w:t>
            </w:r>
          </w:p>
        </w:tc>
      </w:tr>
      <w:tr w:rsidR="00A20E22" w:rsidRPr="00A20E22" w:rsidTr="00C57418">
        <w:tc>
          <w:tcPr>
            <w:tcW w:w="18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71" w:rsidRPr="00A20E22" w:rsidRDefault="00C34871" w:rsidP="00C5741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71" w:rsidRPr="00A20E22" w:rsidRDefault="00C34871" w:rsidP="00C57418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январь-июнь</w:t>
            </w:r>
          </w:p>
        </w:tc>
        <w:tc>
          <w:tcPr>
            <w:tcW w:w="1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71" w:rsidRPr="00A20E22" w:rsidRDefault="00C34871" w:rsidP="00C57418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январь-июнь</w:t>
            </w:r>
          </w:p>
        </w:tc>
      </w:tr>
      <w:tr w:rsidR="00A20E22" w:rsidRPr="00A20E22" w:rsidTr="00C57418">
        <w:tc>
          <w:tcPr>
            <w:tcW w:w="18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71" w:rsidRPr="00A20E22" w:rsidRDefault="00C34871" w:rsidP="00C5741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71" w:rsidRPr="00A20E22" w:rsidRDefault="00C34871" w:rsidP="00C57418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2018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71" w:rsidRPr="00A20E22" w:rsidRDefault="00C34871" w:rsidP="00C57418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2019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71" w:rsidRPr="00A20E22" w:rsidRDefault="00C34871" w:rsidP="00C57418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2018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71" w:rsidRPr="00A20E22" w:rsidRDefault="00C34871" w:rsidP="00C57418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2019</w:t>
            </w:r>
          </w:p>
        </w:tc>
      </w:tr>
      <w:tr w:rsidR="00A20E22" w:rsidRPr="00A20E22" w:rsidTr="00C57418"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871" w:rsidRPr="00A20E22" w:rsidRDefault="00C34871" w:rsidP="00C57418">
            <w:pPr>
              <w:widowControl w:val="0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Все товары и платные услуги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71" w:rsidRPr="00A20E22" w:rsidRDefault="00C34871" w:rsidP="00C57418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102,1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71" w:rsidRPr="00A20E22" w:rsidRDefault="00C34871" w:rsidP="00C57418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102,5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71" w:rsidRPr="00A20E22" w:rsidRDefault="00C34871" w:rsidP="00C57418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100,7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71" w:rsidRPr="00A20E22" w:rsidRDefault="00C34871" w:rsidP="00C57418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102,1</w:t>
            </w:r>
          </w:p>
        </w:tc>
      </w:tr>
      <w:tr w:rsidR="00A20E22" w:rsidRPr="00A20E22" w:rsidTr="00C57418"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871" w:rsidRPr="00A20E22" w:rsidRDefault="00C34871" w:rsidP="00C57418">
            <w:pPr>
              <w:widowControl w:val="0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71" w:rsidRPr="00A20E22" w:rsidRDefault="00C34871" w:rsidP="00C57418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102,2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71" w:rsidRPr="00A20E22" w:rsidRDefault="00C34871" w:rsidP="00C57418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103,0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71" w:rsidRPr="00A20E22" w:rsidRDefault="00C34871" w:rsidP="00C57418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100,4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71" w:rsidRPr="00A20E22" w:rsidRDefault="00C34871" w:rsidP="00C57418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103,1</w:t>
            </w:r>
          </w:p>
        </w:tc>
      </w:tr>
      <w:tr w:rsidR="00A20E22" w:rsidRPr="00A20E22" w:rsidTr="00C57418"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871" w:rsidRPr="00A20E22" w:rsidRDefault="00C34871" w:rsidP="00C57418">
            <w:pPr>
              <w:widowControl w:val="0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71" w:rsidRPr="00A20E22" w:rsidRDefault="00C34871" w:rsidP="00C57418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102,3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71" w:rsidRPr="00A20E22" w:rsidRDefault="00C34871" w:rsidP="00C57418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101,7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4871" w:rsidRPr="00A20E22" w:rsidRDefault="00C34871" w:rsidP="00C57418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100,9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4871" w:rsidRPr="00A20E22" w:rsidRDefault="00C34871" w:rsidP="00C57418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100,8</w:t>
            </w:r>
          </w:p>
        </w:tc>
      </w:tr>
      <w:tr w:rsidR="00182B40" w:rsidRPr="00A20E22" w:rsidTr="00C57418"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871" w:rsidRPr="00A20E22" w:rsidRDefault="00C34871" w:rsidP="00C57418">
            <w:pPr>
              <w:widowControl w:val="0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Платные услуги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71" w:rsidRPr="00A20E22" w:rsidRDefault="00C34871" w:rsidP="00C57418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101,7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71" w:rsidRPr="00A20E22" w:rsidRDefault="00C34871" w:rsidP="00C57418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102,7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71" w:rsidRPr="00A20E22" w:rsidRDefault="00C34871" w:rsidP="00C57418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100,7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71" w:rsidRPr="00A20E22" w:rsidRDefault="00C34871" w:rsidP="00C57418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103,0</w:t>
            </w:r>
          </w:p>
        </w:tc>
      </w:tr>
    </w:tbl>
    <w:p w:rsidR="00C34871" w:rsidRPr="00A20E22" w:rsidRDefault="00C34871" w:rsidP="00C34871">
      <w:pPr>
        <w:widowControl w:val="0"/>
        <w:ind w:firstLine="709"/>
        <w:jc w:val="both"/>
        <w:rPr>
          <w:sz w:val="26"/>
          <w:szCs w:val="26"/>
        </w:rPr>
      </w:pPr>
    </w:p>
    <w:p w:rsidR="00C34871" w:rsidRPr="00A20E22" w:rsidRDefault="00C34871" w:rsidP="00C34871">
      <w:pPr>
        <w:widowControl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8B020C">
        <w:rPr>
          <w:rFonts w:eastAsia="Calibri"/>
          <w:sz w:val="26"/>
          <w:szCs w:val="26"/>
          <w:lang w:eastAsia="en-US"/>
        </w:rPr>
        <w:t>В январе</w:t>
      </w:r>
      <w:r w:rsidR="008B020C" w:rsidRPr="008B020C">
        <w:rPr>
          <w:rFonts w:eastAsia="Calibri"/>
          <w:sz w:val="26"/>
          <w:szCs w:val="26"/>
          <w:lang w:eastAsia="en-US"/>
        </w:rPr>
        <w:t>-</w:t>
      </w:r>
      <w:r w:rsidRPr="008B020C">
        <w:rPr>
          <w:rFonts w:eastAsia="Calibri"/>
          <w:sz w:val="26"/>
          <w:szCs w:val="26"/>
          <w:lang w:eastAsia="en-US"/>
        </w:rPr>
        <w:t>июне 2019 года в Югре отмечено снижение розничных цен на</w:t>
      </w:r>
      <w:r w:rsidRPr="00A20E22">
        <w:rPr>
          <w:rFonts w:eastAsia="Calibri"/>
          <w:sz w:val="26"/>
          <w:szCs w:val="26"/>
          <w:lang w:eastAsia="en-US"/>
        </w:rPr>
        <w:t xml:space="preserve"> следующие товар</w:t>
      </w:r>
      <w:r w:rsidR="00492744">
        <w:rPr>
          <w:rFonts w:eastAsia="Calibri"/>
          <w:sz w:val="26"/>
          <w:szCs w:val="26"/>
          <w:lang w:eastAsia="en-US"/>
        </w:rPr>
        <w:t>ы</w:t>
      </w:r>
      <w:r w:rsidRPr="00A20E22">
        <w:rPr>
          <w:rFonts w:eastAsia="Calibri"/>
          <w:sz w:val="26"/>
          <w:szCs w:val="26"/>
          <w:lang w:eastAsia="en-US"/>
        </w:rPr>
        <w:t xml:space="preserve">: соль поваренная пищевая – на 39,1 %, яйцо куриное – на 17,9 %, сахар-песок – на 13,1 %, </w:t>
      </w:r>
      <w:r w:rsidR="005A54C1" w:rsidRPr="00A20E22">
        <w:rPr>
          <w:rFonts w:eastAsia="Calibri"/>
          <w:sz w:val="26"/>
          <w:szCs w:val="26"/>
          <w:lang w:eastAsia="en-US"/>
        </w:rPr>
        <w:t xml:space="preserve">масло подсолнечное – на 3,6 %, куры – на 3,3 %, вермишель – на 1,4 %, молоко пастеризованное – </w:t>
      </w:r>
      <w:proofErr w:type="gramStart"/>
      <w:r w:rsidR="005A54C1" w:rsidRPr="00A20E22">
        <w:rPr>
          <w:rFonts w:eastAsia="Calibri"/>
          <w:sz w:val="26"/>
          <w:szCs w:val="26"/>
          <w:lang w:eastAsia="en-US"/>
        </w:rPr>
        <w:t>на</w:t>
      </w:r>
      <w:proofErr w:type="gramEnd"/>
      <w:r w:rsidR="005A54C1" w:rsidRPr="00A20E22">
        <w:rPr>
          <w:rFonts w:eastAsia="Calibri"/>
          <w:sz w:val="26"/>
          <w:szCs w:val="26"/>
          <w:lang w:eastAsia="en-US"/>
        </w:rPr>
        <w:t xml:space="preserve"> 0,6 %</w:t>
      </w:r>
      <w:r w:rsidRPr="00A20E22">
        <w:rPr>
          <w:rFonts w:eastAsia="Calibri"/>
          <w:sz w:val="26"/>
          <w:szCs w:val="26"/>
          <w:lang w:eastAsia="en-US"/>
        </w:rPr>
        <w:t>.</w:t>
      </w:r>
    </w:p>
    <w:p w:rsidR="00C34871" w:rsidRPr="00A20E22" w:rsidRDefault="00C34871" w:rsidP="00C34871">
      <w:pPr>
        <w:widowControl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20E22">
        <w:rPr>
          <w:rFonts w:eastAsia="Calibri"/>
          <w:sz w:val="26"/>
          <w:szCs w:val="26"/>
          <w:lang w:eastAsia="en-US"/>
        </w:rPr>
        <w:t>Для своевременного реагирования на изменения ассортимента и розничных цен на продовольствие, с целью организации мероприятий по недопущению необоснованного роста цен и предупреждению дефицита проводится еженедельное информационно-аналитическое наблюдение за состоянием продовольственного рынка во всех 22 муниципальных образованиях автономного округа. Актуальная информация о ценах доступна на сайтах «Мониторинг ЮГРА» (</w:t>
      </w:r>
      <w:hyperlink r:id="rId12" w:history="1">
        <w:r w:rsidRPr="00A20E22">
          <w:rPr>
            <w:rFonts w:eastAsia="Calibri"/>
            <w:sz w:val="26"/>
            <w:szCs w:val="26"/>
            <w:u w:val="single"/>
            <w:lang w:eastAsia="en-US"/>
          </w:rPr>
          <w:t>www.monitoring.admhmao.ru</w:t>
        </w:r>
      </w:hyperlink>
      <w:r w:rsidRPr="00A20E22">
        <w:rPr>
          <w:rFonts w:eastAsia="Calibri"/>
          <w:sz w:val="26"/>
          <w:szCs w:val="26"/>
          <w:lang w:eastAsia="en-US"/>
        </w:rPr>
        <w:t xml:space="preserve">) в разделе «Мониторинг цен» и </w:t>
      </w:r>
      <w:proofErr w:type="spellStart"/>
      <w:r w:rsidRPr="00A20E22">
        <w:rPr>
          <w:rFonts w:eastAsia="Calibri"/>
          <w:sz w:val="26"/>
          <w:szCs w:val="26"/>
          <w:lang w:eastAsia="en-US"/>
        </w:rPr>
        <w:t>Депэкономики</w:t>
      </w:r>
      <w:proofErr w:type="spellEnd"/>
      <w:r w:rsidRPr="00A20E22">
        <w:rPr>
          <w:rFonts w:eastAsia="Calibri"/>
          <w:sz w:val="26"/>
          <w:szCs w:val="26"/>
          <w:lang w:eastAsia="en-US"/>
        </w:rPr>
        <w:t xml:space="preserve"> Югры (</w:t>
      </w:r>
      <w:hyperlink r:id="rId13" w:history="1">
        <w:r w:rsidRPr="00A20E22">
          <w:rPr>
            <w:rFonts w:eastAsia="Calibri"/>
            <w:sz w:val="26"/>
            <w:szCs w:val="26"/>
            <w:u w:val="single"/>
            <w:lang w:eastAsia="en-US"/>
          </w:rPr>
          <w:t>www.depeconom.admhmao.</w:t>
        </w:r>
        <w:proofErr w:type="spellStart"/>
        <w:r w:rsidRPr="00A20E22">
          <w:rPr>
            <w:rFonts w:eastAsia="Calibri"/>
            <w:sz w:val="26"/>
            <w:szCs w:val="26"/>
            <w:u w:val="single"/>
            <w:lang w:val="en-US" w:eastAsia="en-US"/>
          </w:rPr>
          <w:t>uriit</w:t>
        </w:r>
        <w:proofErr w:type="spellEnd"/>
        <w:r w:rsidRPr="00A20E22">
          <w:rPr>
            <w:rFonts w:eastAsia="Calibri"/>
            <w:sz w:val="26"/>
            <w:szCs w:val="26"/>
            <w:u w:val="single"/>
            <w:lang w:eastAsia="en-US"/>
          </w:rPr>
          <w:t>.</w:t>
        </w:r>
        <w:proofErr w:type="spellStart"/>
        <w:r w:rsidRPr="00A20E22">
          <w:rPr>
            <w:rFonts w:eastAsia="Calibri"/>
            <w:sz w:val="26"/>
            <w:szCs w:val="26"/>
            <w:u w:val="single"/>
            <w:lang w:eastAsia="en-US"/>
          </w:rPr>
          <w:t>ru</w:t>
        </w:r>
        <w:proofErr w:type="spellEnd"/>
      </w:hyperlink>
      <w:r w:rsidRPr="00A20E22">
        <w:rPr>
          <w:rFonts w:eastAsia="Calibri"/>
          <w:sz w:val="26"/>
          <w:szCs w:val="26"/>
          <w:lang w:eastAsia="en-US"/>
        </w:rPr>
        <w:t xml:space="preserve">) в разделе «Деятельность – Цены». </w:t>
      </w:r>
    </w:p>
    <w:p w:rsidR="00C34871" w:rsidRPr="00A20E22" w:rsidRDefault="00C34871" w:rsidP="00C34871">
      <w:pPr>
        <w:widowControl w:val="0"/>
        <w:ind w:firstLine="709"/>
        <w:jc w:val="both"/>
        <w:rPr>
          <w:rFonts w:eastAsia="Calibri"/>
          <w:sz w:val="26"/>
          <w:szCs w:val="26"/>
        </w:rPr>
      </w:pPr>
      <w:r w:rsidRPr="00A20E22">
        <w:rPr>
          <w:rFonts w:eastAsia="Calibri"/>
          <w:sz w:val="26"/>
          <w:szCs w:val="26"/>
          <w:lang w:eastAsia="en-US"/>
        </w:rPr>
        <w:t>По результатам информационно-аналитического наблюдения ценовые тенденции на рынке продовольственных товаров автономного округа соответствуют общероссийским, необоснованного повышения цен не выявлено.</w:t>
      </w:r>
    </w:p>
    <w:p w:rsidR="00C34871" w:rsidRPr="00A20E22" w:rsidRDefault="00C34871" w:rsidP="00C34871">
      <w:pPr>
        <w:widowControl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20E22">
        <w:rPr>
          <w:rFonts w:eastAsia="Calibri"/>
          <w:sz w:val="26"/>
          <w:szCs w:val="26"/>
          <w:lang w:eastAsia="en-US"/>
        </w:rPr>
        <w:t>Для обеспечения доступа сельхозпроизводителей на рынок и расширения каналов сбыта, исполнительными органами государственной власти Ханты-Мансийского автономного округа – Югры совместно с предпринимательским сообществом проводятся организационные мероприятия:</w:t>
      </w:r>
      <w:r w:rsidR="00492A8C">
        <w:rPr>
          <w:rFonts w:eastAsia="Calibri"/>
          <w:sz w:val="26"/>
          <w:szCs w:val="26"/>
          <w:lang w:eastAsia="en-US"/>
        </w:rPr>
        <w:t xml:space="preserve"> </w:t>
      </w:r>
    </w:p>
    <w:p w:rsidR="00C34871" w:rsidRPr="008B020C" w:rsidRDefault="00C34871" w:rsidP="008B020C">
      <w:pPr>
        <w:widowControl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8B020C">
        <w:rPr>
          <w:rFonts w:eastAsia="Calibri"/>
          <w:sz w:val="26"/>
          <w:szCs w:val="26"/>
          <w:lang w:eastAsia="en-US"/>
        </w:rPr>
        <w:t>по развитию специализированных нестационарных торговых объектов, реализующих сельскохозяйственную продукцию и продовольственные товары (</w:t>
      </w:r>
      <w:r w:rsidR="00ED33EB" w:rsidRPr="008B020C">
        <w:rPr>
          <w:rFonts w:eastAsia="Calibri"/>
          <w:sz w:val="26"/>
          <w:szCs w:val="26"/>
          <w:lang w:eastAsia="en-US"/>
        </w:rPr>
        <w:t>всего</w:t>
      </w:r>
      <w:r w:rsidRPr="008B020C">
        <w:rPr>
          <w:rFonts w:eastAsia="Calibri"/>
          <w:sz w:val="26"/>
          <w:szCs w:val="26"/>
          <w:lang w:eastAsia="en-US"/>
        </w:rPr>
        <w:t xml:space="preserve"> в автономном округе функционирует 1 193 нестационарных торговых объекта); </w:t>
      </w:r>
    </w:p>
    <w:p w:rsidR="00C34871" w:rsidRPr="008B020C" w:rsidRDefault="00C34871" w:rsidP="008B020C">
      <w:pPr>
        <w:widowControl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8B020C">
        <w:rPr>
          <w:rFonts w:eastAsia="Calibri"/>
          <w:sz w:val="26"/>
          <w:szCs w:val="26"/>
          <w:lang w:eastAsia="en-US"/>
        </w:rPr>
        <w:t xml:space="preserve">формированию справочной общедоступной системы ярмарочных площадок для организации и проведения ярмарок в муниципальных образованиях автономного округа; </w:t>
      </w:r>
    </w:p>
    <w:p w:rsidR="00C34871" w:rsidRPr="008B020C" w:rsidRDefault="00C34871" w:rsidP="008B020C">
      <w:pPr>
        <w:widowControl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8B020C">
        <w:rPr>
          <w:rFonts w:eastAsia="Calibri"/>
          <w:sz w:val="26"/>
          <w:szCs w:val="26"/>
          <w:lang w:eastAsia="en-US"/>
        </w:rPr>
        <w:t>обеспечению доступа к торговым местам на розничных рынках товаропроизводителям сельскохозяйственной продукции на льготных условиях в упрощенном порядке.</w:t>
      </w:r>
    </w:p>
    <w:p w:rsidR="00C34871" w:rsidRPr="00A20E22" w:rsidRDefault="00C34871" w:rsidP="00C34871">
      <w:pPr>
        <w:widowControl w:val="0"/>
        <w:ind w:firstLine="709"/>
        <w:jc w:val="both"/>
        <w:rPr>
          <w:rFonts w:eastAsia="Calibri"/>
          <w:sz w:val="26"/>
          <w:szCs w:val="26"/>
        </w:rPr>
      </w:pPr>
      <w:r w:rsidRPr="00A20E22">
        <w:rPr>
          <w:rFonts w:eastAsia="Calibri"/>
          <w:sz w:val="26"/>
          <w:szCs w:val="26"/>
        </w:rPr>
        <w:t xml:space="preserve">Схемы размещения нестационарных торговых объектов, план-график проведения ярмарок, система ярмарочных площадок, реестр розничных рынков, ежегодный обзор «Потребительский рынок Ханты-Мансийского автономного округа – Югры» находятся в открытом доступе на сайте </w:t>
      </w:r>
      <w:proofErr w:type="spellStart"/>
      <w:r w:rsidRPr="00A20E22">
        <w:rPr>
          <w:rFonts w:eastAsia="Calibri"/>
          <w:sz w:val="26"/>
          <w:szCs w:val="26"/>
        </w:rPr>
        <w:t>Депэкономики</w:t>
      </w:r>
      <w:proofErr w:type="spellEnd"/>
      <w:r w:rsidRPr="00A20E22">
        <w:rPr>
          <w:rFonts w:eastAsia="Calibri"/>
          <w:sz w:val="26"/>
          <w:szCs w:val="26"/>
        </w:rPr>
        <w:t xml:space="preserve"> Югры (</w:t>
      </w:r>
      <w:r w:rsidRPr="00A20E22">
        <w:rPr>
          <w:rStyle w:val="ac"/>
          <w:rFonts w:eastAsia="Calibri"/>
          <w:color w:val="auto"/>
          <w:sz w:val="26"/>
          <w:szCs w:val="26"/>
        </w:rPr>
        <w:t>www.depeconom.admhmao.ru</w:t>
      </w:r>
      <w:r w:rsidRPr="00A20E22">
        <w:rPr>
          <w:rFonts w:eastAsia="Calibri"/>
          <w:sz w:val="26"/>
          <w:szCs w:val="26"/>
        </w:rPr>
        <w:t>) в разделе «Деятельность – Потребительский рынок».</w:t>
      </w:r>
    </w:p>
    <w:p w:rsidR="00C34871" w:rsidRPr="00A20E22" w:rsidRDefault="00C34871" w:rsidP="00C34871">
      <w:pPr>
        <w:widowControl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20E22">
        <w:rPr>
          <w:rFonts w:eastAsia="Calibri"/>
          <w:sz w:val="26"/>
          <w:szCs w:val="26"/>
          <w:lang w:eastAsia="en-US"/>
        </w:rPr>
        <w:t xml:space="preserve">В целях предупреждения необоснованного повышения тарифов в Югре </w:t>
      </w:r>
      <w:r w:rsidRPr="00A20E22">
        <w:rPr>
          <w:rFonts w:eastAsia="Calibri"/>
          <w:sz w:val="26"/>
          <w:szCs w:val="26"/>
          <w:lang w:eastAsia="en-US"/>
        </w:rPr>
        <w:lastRenderedPageBreak/>
        <w:t>утверждён План мероприятий по недопущению необоснованного роста платежей граждан за коммунальные услуги и услуги, касающиеся обслуживания жилищного фонда на 2019 год</w:t>
      </w:r>
      <w:r w:rsidRPr="00A20E22">
        <w:rPr>
          <w:rFonts w:eastAsia="Calibri"/>
          <w:sz w:val="26"/>
          <w:szCs w:val="26"/>
          <w:vertAlign w:val="superscript"/>
          <w:lang w:eastAsia="en-US"/>
        </w:rPr>
        <w:footnoteReference w:id="34"/>
      </w:r>
      <w:r w:rsidRPr="00A20E22">
        <w:rPr>
          <w:rFonts w:eastAsia="Calibri"/>
          <w:sz w:val="26"/>
          <w:szCs w:val="26"/>
          <w:lang w:eastAsia="en-US"/>
        </w:rPr>
        <w:t>.</w:t>
      </w:r>
    </w:p>
    <w:p w:rsidR="00C34871" w:rsidRPr="00A20E22" w:rsidRDefault="00C34871" w:rsidP="00C34871">
      <w:pPr>
        <w:widowControl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20E22">
        <w:rPr>
          <w:rFonts w:eastAsia="Calibri"/>
          <w:sz w:val="26"/>
          <w:szCs w:val="26"/>
          <w:lang w:eastAsia="en-US"/>
        </w:rPr>
        <w:t>В целях недопущения необоснованного превышения тарифов в Югре ежемесячно проводится мониторинг платы граждан за коммунальные услуги во всех муниципальных образованиях в формате электронного шаблона OREP.KU.MONTHLY ПО «Единой информационной аналитической системе».</w:t>
      </w:r>
    </w:p>
    <w:p w:rsidR="00C34871" w:rsidRPr="00A20E22" w:rsidRDefault="00C34871" w:rsidP="00C34871">
      <w:pPr>
        <w:widowControl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20E22">
        <w:rPr>
          <w:rFonts w:eastAsia="Calibri"/>
          <w:sz w:val="26"/>
          <w:szCs w:val="26"/>
          <w:lang w:eastAsia="en-US"/>
        </w:rPr>
        <w:t>Информация о результатах мониторинга ежемесячно печатается в официальном источнике опубликования нормативных правовых актов органов государственной власти автономного округа – газете «Новости Югры» и размещается на сайте Региональной службы по тарифам Ханты-Мансийского автономного округа – Югры (https://rst.admhmao.ru/dlya-grazhdan/) (далее – РСТ Югры).</w:t>
      </w:r>
    </w:p>
    <w:p w:rsidR="00C34871" w:rsidRPr="00A20E22" w:rsidRDefault="00C34871" w:rsidP="00C34871">
      <w:pPr>
        <w:widowControl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20E22">
        <w:rPr>
          <w:rFonts w:eastAsia="Calibri"/>
          <w:sz w:val="26"/>
          <w:szCs w:val="26"/>
          <w:lang w:eastAsia="en-US"/>
        </w:rPr>
        <w:t>По результатам мониторинга необоснованного роста тарифов, а также превышения установленного уровня платы граждан не выявлено.</w:t>
      </w:r>
    </w:p>
    <w:p w:rsidR="00C34871" w:rsidRPr="00A20E22" w:rsidRDefault="00C34871" w:rsidP="00C34871">
      <w:pPr>
        <w:widowControl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20E22">
        <w:rPr>
          <w:rFonts w:eastAsia="Calibri"/>
          <w:sz w:val="26"/>
          <w:szCs w:val="26"/>
          <w:lang w:eastAsia="en-US"/>
        </w:rPr>
        <w:t>На едином официальном сайте государственных органов власти Югры, а также на официальном сайте РСТ Югры размещён информационный инструмент, позволяющий провести онлайн-проверку соответствия размера платы за коммунальные услуги, а также соответствия роста установленным ограничениям.</w:t>
      </w:r>
    </w:p>
    <w:p w:rsidR="007C394E" w:rsidRPr="00A20E22" w:rsidRDefault="007C394E" w:rsidP="007259C9">
      <w:pPr>
        <w:widowControl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7F033E" w:rsidRPr="00A20E22" w:rsidRDefault="007F033E" w:rsidP="001B58EA">
      <w:pPr>
        <w:pStyle w:val="2"/>
        <w:numPr>
          <w:ilvl w:val="0"/>
          <w:numId w:val="0"/>
        </w:numPr>
        <w:rPr>
          <w:rFonts w:eastAsiaTheme="majorEastAsia"/>
          <w:color w:val="auto"/>
        </w:rPr>
      </w:pPr>
      <w:bookmarkStart w:id="18" w:name="_Toc10912553"/>
      <w:r w:rsidRPr="00A20E22">
        <w:rPr>
          <w:rFonts w:eastAsiaTheme="majorEastAsia"/>
          <w:color w:val="auto"/>
        </w:rPr>
        <w:t>Торговля</w:t>
      </w:r>
      <w:bookmarkEnd w:id="18"/>
    </w:p>
    <w:p w:rsidR="001E4ACF" w:rsidRPr="00A20E22" w:rsidRDefault="001E4ACF" w:rsidP="001E4ACF">
      <w:pPr>
        <w:widowControl w:val="0"/>
        <w:ind w:firstLine="709"/>
        <w:jc w:val="both"/>
        <w:rPr>
          <w:sz w:val="26"/>
          <w:szCs w:val="26"/>
        </w:rPr>
      </w:pPr>
    </w:p>
    <w:p w:rsidR="009D3EA1" w:rsidRPr="00A20E22" w:rsidRDefault="009D3EA1" w:rsidP="009D3EA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 xml:space="preserve">В январе-июне 2019 года оборот розничной торговли в автономном округе составил 215,4 млрд. рублей, что больше показателя соответствующего периода 2018 года в сопоставимых ценах на 1,8 %. В расчете на одного жителя Югры оборот розничной торговли </w:t>
      </w:r>
      <w:r w:rsidR="001C0F12" w:rsidRPr="00A20E22">
        <w:rPr>
          <w:sz w:val="26"/>
          <w:szCs w:val="26"/>
        </w:rPr>
        <w:t>–</w:t>
      </w:r>
      <w:r w:rsidRPr="00A20E22">
        <w:rPr>
          <w:sz w:val="26"/>
          <w:szCs w:val="26"/>
        </w:rPr>
        <w:t xml:space="preserve"> 129,8 тыс. рублей.</w:t>
      </w:r>
    </w:p>
    <w:p w:rsidR="009D3EA1" w:rsidRPr="00A20E22" w:rsidRDefault="009D3EA1" w:rsidP="009D3EA1">
      <w:pPr>
        <w:widowControl w:val="0"/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 xml:space="preserve">В структуре покупок </w:t>
      </w:r>
      <w:proofErr w:type="spellStart"/>
      <w:r w:rsidRPr="00A20E22">
        <w:rPr>
          <w:sz w:val="26"/>
          <w:szCs w:val="26"/>
        </w:rPr>
        <w:t>югорчан</w:t>
      </w:r>
      <w:proofErr w:type="spellEnd"/>
      <w:r w:rsidRPr="00A20E22">
        <w:rPr>
          <w:sz w:val="26"/>
          <w:szCs w:val="26"/>
        </w:rPr>
        <w:t xml:space="preserve"> преобладает доля непродовольственных товаров, в общем обороте розничной торговли она составила 53,8 % против 46,2 % продовольствия. Оборот непродовольственной группы товаров составил 115,9 млрд. рублей (январь-июнь 2018 года – 111,5 млрд. рублей). Продовольственных товаров продано на сумму 99,5 млрд. рублей (январь-июнь 2018 года – 92,9 млрд. рублей).</w:t>
      </w:r>
    </w:p>
    <w:p w:rsidR="009D3EA1" w:rsidRPr="00A20E22" w:rsidRDefault="009D3EA1" w:rsidP="009D3EA1">
      <w:pPr>
        <w:widowControl w:val="0"/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>Оборот общественного питания в январе-июне 2019 года в действующих ценах составил 16,8 млрд. рублей (январь-июнь 2018 года – 17,2 млрд. рублей), индекс физического объема к соответствующему периоду 2018 года – 100,9</w:t>
      </w:r>
      <w:r w:rsidR="006C22DE">
        <w:rPr>
          <w:sz w:val="26"/>
          <w:szCs w:val="26"/>
        </w:rPr>
        <w:t xml:space="preserve"> </w:t>
      </w:r>
      <w:r w:rsidRPr="00A20E22">
        <w:rPr>
          <w:sz w:val="26"/>
          <w:szCs w:val="26"/>
        </w:rPr>
        <w:t xml:space="preserve">%. В расчете на одного жителя оборот общественного питания в Югре составил </w:t>
      </w:r>
      <w:r w:rsidR="00573781" w:rsidRPr="00A20E22">
        <w:rPr>
          <w:sz w:val="26"/>
          <w:szCs w:val="26"/>
        </w:rPr>
        <w:t>10,1</w:t>
      </w:r>
      <w:r w:rsidRPr="00A20E22">
        <w:rPr>
          <w:sz w:val="26"/>
          <w:szCs w:val="26"/>
        </w:rPr>
        <w:t xml:space="preserve"> тыс. рублей.</w:t>
      </w:r>
    </w:p>
    <w:p w:rsidR="009D3EA1" w:rsidRPr="00A20E22" w:rsidRDefault="009D3EA1" w:rsidP="009D3EA1">
      <w:pPr>
        <w:widowControl w:val="0"/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>Оборот розничной торговли автономного округа на 97,5 % формировался в торговых объектах, 2,5 % – на розничных рынках и ярмарках (в январе-июне 2018 года – соответственно 97,3% и 2,7%).</w:t>
      </w:r>
    </w:p>
    <w:p w:rsidR="009D3EA1" w:rsidRPr="00A20E22" w:rsidRDefault="009D3EA1" w:rsidP="009D3EA1">
      <w:pPr>
        <w:widowControl w:val="0"/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>В автономном округе 6</w:t>
      </w:r>
      <w:r w:rsidR="008B020C">
        <w:rPr>
          <w:sz w:val="26"/>
          <w:szCs w:val="26"/>
        </w:rPr>
        <w:t> </w:t>
      </w:r>
      <w:r w:rsidRPr="00A20E22">
        <w:rPr>
          <w:sz w:val="26"/>
          <w:szCs w:val="26"/>
        </w:rPr>
        <w:t xml:space="preserve">516 стационарных торговых объектов, в том числе 1057 торговых объектов </w:t>
      </w:r>
      <w:r w:rsidR="001C5AC4" w:rsidRPr="00A20E22">
        <w:rPr>
          <w:sz w:val="26"/>
          <w:szCs w:val="26"/>
        </w:rPr>
        <w:t>сетевых продовольственных</w:t>
      </w:r>
      <w:r w:rsidRPr="00A20E22">
        <w:rPr>
          <w:sz w:val="26"/>
          <w:szCs w:val="26"/>
        </w:rPr>
        <w:t xml:space="preserve"> операторов.</w:t>
      </w:r>
    </w:p>
    <w:p w:rsidR="009D3EA1" w:rsidRPr="00A20E22" w:rsidRDefault="009D3EA1" w:rsidP="009D3EA1">
      <w:pPr>
        <w:widowControl w:val="0"/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 xml:space="preserve">Обеспеченность населения Югры стационарными торговыми объектами – </w:t>
      </w:r>
      <w:r w:rsidR="001C5AC4" w:rsidRPr="00A20E22">
        <w:rPr>
          <w:sz w:val="26"/>
          <w:szCs w:val="26"/>
        </w:rPr>
        <w:t xml:space="preserve">                </w:t>
      </w:r>
      <w:r w:rsidRPr="00A20E22">
        <w:rPr>
          <w:sz w:val="26"/>
          <w:szCs w:val="26"/>
        </w:rPr>
        <w:t>1109 кв. м на 1 тыс. жителей, что почти в 2 раза выше минимального норматива (640 кв.</w:t>
      </w:r>
      <w:r w:rsidR="001C5AC4" w:rsidRPr="00A20E22">
        <w:rPr>
          <w:sz w:val="26"/>
          <w:szCs w:val="26"/>
        </w:rPr>
        <w:t xml:space="preserve"> </w:t>
      </w:r>
      <w:r w:rsidRPr="00A20E22">
        <w:rPr>
          <w:sz w:val="26"/>
          <w:szCs w:val="26"/>
        </w:rPr>
        <w:t xml:space="preserve">м на 1 тыс. жителей). </w:t>
      </w:r>
    </w:p>
    <w:p w:rsidR="009D3EA1" w:rsidRPr="00A20E22" w:rsidRDefault="009D3EA1" w:rsidP="009D3EA1">
      <w:pPr>
        <w:widowControl w:val="0"/>
        <w:ind w:firstLine="709"/>
        <w:jc w:val="both"/>
        <w:rPr>
          <w:sz w:val="26"/>
          <w:szCs w:val="26"/>
        </w:rPr>
      </w:pPr>
      <w:r w:rsidRPr="008B020C">
        <w:rPr>
          <w:sz w:val="26"/>
          <w:szCs w:val="26"/>
        </w:rPr>
        <w:lastRenderedPageBreak/>
        <w:t>На долю торговых объектов современных форматов (свыше 300 кв.</w:t>
      </w:r>
      <w:r w:rsidR="001C5AC4" w:rsidRPr="008B020C">
        <w:rPr>
          <w:sz w:val="26"/>
          <w:szCs w:val="26"/>
        </w:rPr>
        <w:t xml:space="preserve"> </w:t>
      </w:r>
      <w:r w:rsidRPr="008B020C">
        <w:rPr>
          <w:sz w:val="26"/>
          <w:szCs w:val="26"/>
        </w:rPr>
        <w:t>м) приходится 80</w:t>
      </w:r>
      <w:r w:rsidR="00492A8C" w:rsidRPr="008B020C">
        <w:rPr>
          <w:sz w:val="26"/>
          <w:szCs w:val="26"/>
        </w:rPr>
        <w:t>,0</w:t>
      </w:r>
      <w:r w:rsidRPr="008B020C">
        <w:rPr>
          <w:sz w:val="26"/>
          <w:szCs w:val="26"/>
        </w:rPr>
        <w:t xml:space="preserve"> % торговой площади. Доля торговых</w:t>
      </w:r>
      <w:r w:rsidR="001C5AC4" w:rsidRPr="008B020C">
        <w:rPr>
          <w:sz w:val="26"/>
          <w:szCs w:val="26"/>
        </w:rPr>
        <w:t xml:space="preserve"> </w:t>
      </w:r>
      <w:r w:rsidRPr="008B020C">
        <w:rPr>
          <w:sz w:val="26"/>
          <w:szCs w:val="26"/>
        </w:rPr>
        <w:t>сетей</w:t>
      </w:r>
      <w:r w:rsidR="001C5AC4" w:rsidRPr="008B020C">
        <w:rPr>
          <w:sz w:val="26"/>
          <w:szCs w:val="26"/>
        </w:rPr>
        <w:t>,</w:t>
      </w:r>
      <w:r w:rsidRPr="008B020C">
        <w:rPr>
          <w:sz w:val="26"/>
          <w:szCs w:val="26"/>
        </w:rPr>
        <w:t xml:space="preserve"> реализующих продовольственные товары в торговой площади магазинов «продукты» – 38</w:t>
      </w:r>
      <w:r w:rsidR="00492A8C" w:rsidRPr="008B020C">
        <w:rPr>
          <w:sz w:val="26"/>
          <w:szCs w:val="26"/>
        </w:rPr>
        <w:t xml:space="preserve">,0 </w:t>
      </w:r>
      <w:r w:rsidRPr="008B020C">
        <w:rPr>
          <w:sz w:val="26"/>
          <w:szCs w:val="26"/>
        </w:rPr>
        <w:t>%.</w:t>
      </w:r>
    </w:p>
    <w:p w:rsidR="009D3EA1" w:rsidRPr="00A20E22" w:rsidRDefault="009D3EA1" w:rsidP="009D3EA1">
      <w:pPr>
        <w:widowControl w:val="0"/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 xml:space="preserve">В 7 муниципальных образованиях Югры действуют 10 универсальных розничных рынков. </w:t>
      </w:r>
    </w:p>
    <w:p w:rsidR="009D3EA1" w:rsidRPr="00A20E22" w:rsidRDefault="009D3EA1" w:rsidP="009D3EA1">
      <w:pPr>
        <w:widowControl w:val="0"/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 xml:space="preserve">В </w:t>
      </w:r>
      <w:r w:rsidR="008B020C">
        <w:rPr>
          <w:sz w:val="26"/>
          <w:szCs w:val="26"/>
        </w:rPr>
        <w:t>январе-июне</w:t>
      </w:r>
      <w:r w:rsidRPr="00A20E22">
        <w:rPr>
          <w:sz w:val="26"/>
          <w:szCs w:val="26"/>
        </w:rPr>
        <w:t xml:space="preserve"> 2019 года в муниципальных образованиях Ханты-Мансийского автономного округа – Югры проведено 411 ярмарок, в том числе 195 – ярмарок выходного дня, 27 – постоянно действующих.</w:t>
      </w:r>
    </w:p>
    <w:p w:rsidR="00356168" w:rsidRPr="00A20E22" w:rsidRDefault="00356168" w:rsidP="00356168">
      <w:pPr>
        <w:widowControl w:val="0"/>
        <w:ind w:firstLine="709"/>
        <w:jc w:val="both"/>
        <w:rPr>
          <w:sz w:val="26"/>
          <w:szCs w:val="26"/>
        </w:rPr>
      </w:pPr>
    </w:p>
    <w:p w:rsidR="007D0162" w:rsidRPr="00A20E22" w:rsidRDefault="007D0162" w:rsidP="001B58EA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eastAsiaTheme="majorEastAsia" w:hAnsi="Times New Roman"/>
          <w:b w:val="0"/>
          <w:sz w:val="26"/>
          <w:szCs w:val="26"/>
        </w:rPr>
      </w:pPr>
      <w:bookmarkStart w:id="19" w:name="_Toc10912554"/>
      <w:r w:rsidRPr="00A20E22">
        <w:rPr>
          <w:rFonts w:ascii="Times New Roman" w:eastAsiaTheme="majorEastAsia" w:hAnsi="Times New Roman"/>
          <w:b w:val="0"/>
          <w:sz w:val="26"/>
          <w:szCs w:val="26"/>
        </w:rPr>
        <w:t>Демография</w:t>
      </w:r>
      <w:bookmarkEnd w:id="19"/>
    </w:p>
    <w:p w:rsidR="001B58EA" w:rsidRPr="00A20E22" w:rsidRDefault="001B58EA" w:rsidP="007D0162">
      <w:pPr>
        <w:widowControl w:val="0"/>
        <w:ind w:firstLine="709"/>
        <w:jc w:val="both"/>
        <w:rPr>
          <w:rFonts w:eastAsia="MingLiU_HKSCS"/>
          <w:sz w:val="26"/>
          <w:szCs w:val="26"/>
        </w:rPr>
      </w:pPr>
    </w:p>
    <w:p w:rsidR="00626D53" w:rsidRPr="00A20E22" w:rsidRDefault="00626D53" w:rsidP="00626D53">
      <w:pPr>
        <w:widowControl w:val="0"/>
        <w:ind w:firstLine="709"/>
        <w:jc w:val="both"/>
        <w:rPr>
          <w:rFonts w:eastAsia="MingLiU_HKSCS"/>
          <w:sz w:val="26"/>
          <w:szCs w:val="26"/>
        </w:rPr>
      </w:pPr>
      <w:r w:rsidRPr="00A20E22">
        <w:rPr>
          <w:rFonts w:eastAsia="MingLiU_HKSCS"/>
          <w:sz w:val="26"/>
          <w:szCs w:val="26"/>
        </w:rPr>
        <w:t xml:space="preserve">Численность постоянного населения автономного округа на 1 января 2019 года по информации Федеральной службы государственной статистики составила 1 663,8 тыс. человек (на 1 января 2018 года – 1 655,1 тыс. человек). </w:t>
      </w:r>
    </w:p>
    <w:p w:rsidR="005E0FD8" w:rsidRPr="00A20E22" w:rsidRDefault="005E0FD8" w:rsidP="005E0FD8">
      <w:pPr>
        <w:widowControl w:val="0"/>
        <w:ind w:firstLine="709"/>
        <w:jc w:val="both"/>
        <w:rPr>
          <w:rFonts w:eastAsia="MingLiU_HKSCS"/>
          <w:sz w:val="26"/>
          <w:szCs w:val="26"/>
        </w:rPr>
      </w:pPr>
      <w:r w:rsidRPr="00A20E22">
        <w:rPr>
          <w:rFonts w:eastAsia="MingLiU_HKSCS"/>
          <w:sz w:val="26"/>
          <w:szCs w:val="26"/>
        </w:rPr>
        <w:t>По данным органов статистики</w:t>
      </w:r>
      <w:r w:rsidRPr="00A20E22">
        <w:rPr>
          <w:rStyle w:val="a8"/>
          <w:rFonts w:eastAsia="MingLiU_HKSCS"/>
          <w:sz w:val="26"/>
          <w:szCs w:val="26"/>
        </w:rPr>
        <w:footnoteReference w:id="35"/>
      </w:r>
      <w:r w:rsidRPr="00A20E22">
        <w:rPr>
          <w:rFonts w:eastAsia="MingLiU_HKSCS"/>
          <w:sz w:val="26"/>
          <w:szCs w:val="26"/>
        </w:rPr>
        <w:t xml:space="preserve">, естественный прирост </w:t>
      </w:r>
      <w:r w:rsidRPr="006C22DE">
        <w:rPr>
          <w:rFonts w:eastAsia="MingLiU_HKSCS"/>
          <w:sz w:val="26"/>
          <w:szCs w:val="26"/>
        </w:rPr>
        <w:t>населения за январь-май 2019 года составил 4,3 тыс. человек (январь-май 2018 года – 4,8 тыс.</w:t>
      </w:r>
      <w:r w:rsidRPr="00A20E22">
        <w:rPr>
          <w:rFonts w:eastAsia="MingLiU_HKSCS"/>
          <w:sz w:val="26"/>
          <w:szCs w:val="26"/>
        </w:rPr>
        <w:t xml:space="preserve"> человек).</w:t>
      </w:r>
      <w:r w:rsidR="00BF1C91" w:rsidRPr="00A20E22">
        <w:rPr>
          <w:rFonts w:eastAsia="MingLiU_HKSCS"/>
          <w:sz w:val="26"/>
          <w:szCs w:val="26"/>
        </w:rPr>
        <w:t xml:space="preserve"> </w:t>
      </w:r>
      <w:r w:rsidRPr="00A20E22">
        <w:rPr>
          <w:rFonts w:eastAsia="MingLiU_HKSCS"/>
          <w:sz w:val="26"/>
          <w:szCs w:val="26"/>
        </w:rPr>
        <w:t>Число родившихся – 8,6 тыс. человек (январь-май 2018 года – 9,2 тыс. человек).</w:t>
      </w:r>
      <w:r w:rsidR="00BF1C91" w:rsidRPr="00A20E22">
        <w:rPr>
          <w:rFonts w:eastAsia="MingLiU_HKSCS"/>
          <w:sz w:val="26"/>
          <w:szCs w:val="26"/>
        </w:rPr>
        <w:t xml:space="preserve"> </w:t>
      </w:r>
      <w:r w:rsidRPr="00A20E22">
        <w:rPr>
          <w:rFonts w:eastAsia="MingLiU_HKSCS"/>
          <w:sz w:val="26"/>
          <w:szCs w:val="26"/>
        </w:rPr>
        <w:t>Число умерших – 4,3 тыс. человек (январь-май 2018 года – 4,5 тыс. человек).</w:t>
      </w:r>
      <w:r w:rsidR="00BF1C91" w:rsidRPr="00A20E22">
        <w:rPr>
          <w:rFonts w:eastAsia="MingLiU_HKSCS"/>
          <w:sz w:val="26"/>
          <w:szCs w:val="26"/>
        </w:rPr>
        <w:t xml:space="preserve"> </w:t>
      </w:r>
      <w:r w:rsidRPr="00A20E22">
        <w:rPr>
          <w:rFonts w:eastAsia="MingLiU_HKSCS"/>
          <w:sz w:val="26"/>
          <w:szCs w:val="26"/>
        </w:rPr>
        <w:t>Рождаемость в Югре превышает смертность в 2</w:t>
      </w:r>
      <w:r w:rsidR="00BF1C91" w:rsidRPr="00A20E22">
        <w:rPr>
          <w:rFonts w:eastAsia="MingLiU_HKSCS"/>
          <w:sz w:val="26"/>
          <w:szCs w:val="26"/>
        </w:rPr>
        <w:t>,0</w:t>
      </w:r>
      <w:r w:rsidRPr="00A20E22">
        <w:rPr>
          <w:rFonts w:eastAsia="MingLiU_HKSCS"/>
          <w:sz w:val="26"/>
          <w:szCs w:val="26"/>
        </w:rPr>
        <w:t xml:space="preserve"> раза.</w:t>
      </w:r>
    </w:p>
    <w:p w:rsidR="005E0FD8" w:rsidRPr="008B020C" w:rsidRDefault="005E0FD8" w:rsidP="008B020C">
      <w:pPr>
        <w:widowControl w:val="0"/>
        <w:ind w:firstLine="709"/>
        <w:jc w:val="both"/>
        <w:rPr>
          <w:rFonts w:eastAsia="MingLiU_HKSCS"/>
          <w:sz w:val="26"/>
          <w:szCs w:val="26"/>
        </w:rPr>
      </w:pPr>
      <w:r w:rsidRPr="00A20E22">
        <w:rPr>
          <w:rFonts w:eastAsiaTheme="minorEastAsia"/>
          <w:sz w:val="26"/>
          <w:szCs w:val="26"/>
        </w:rPr>
        <w:t>За январь-май 2019 года Югра по-прежнему входит в число субъектов-</w:t>
      </w:r>
      <w:r w:rsidRPr="008B020C">
        <w:rPr>
          <w:rFonts w:eastAsia="MingLiU_HKSCS"/>
          <w:sz w:val="26"/>
          <w:szCs w:val="26"/>
        </w:rPr>
        <w:t>лидеров Российской Федерации с наилучшими показателями:</w:t>
      </w:r>
      <w:r w:rsidR="00492A8C" w:rsidRPr="008B020C">
        <w:rPr>
          <w:rFonts w:eastAsia="MingLiU_HKSCS"/>
          <w:sz w:val="26"/>
          <w:szCs w:val="26"/>
        </w:rPr>
        <w:t xml:space="preserve"> </w:t>
      </w:r>
    </w:p>
    <w:p w:rsidR="005E0FD8" w:rsidRPr="008B020C" w:rsidRDefault="005E0FD8" w:rsidP="008B020C">
      <w:pPr>
        <w:widowControl w:val="0"/>
        <w:ind w:firstLine="709"/>
        <w:jc w:val="both"/>
        <w:rPr>
          <w:rFonts w:eastAsia="MingLiU_HKSCS"/>
          <w:sz w:val="26"/>
          <w:szCs w:val="26"/>
        </w:rPr>
      </w:pPr>
      <w:r w:rsidRPr="008B020C">
        <w:rPr>
          <w:rFonts w:eastAsia="MingLiU_HKSCS"/>
          <w:sz w:val="26"/>
          <w:szCs w:val="26"/>
        </w:rPr>
        <w:t>по коэффициенту рождаемости 10 место с показателем 12,5 на 1000 населения (РФ – 9,9 на 1000 населения);</w:t>
      </w:r>
    </w:p>
    <w:p w:rsidR="005E0FD8" w:rsidRPr="008B020C" w:rsidRDefault="005E0FD8" w:rsidP="008B020C">
      <w:pPr>
        <w:widowControl w:val="0"/>
        <w:ind w:firstLine="709"/>
        <w:jc w:val="both"/>
        <w:rPr>
          <w:rFonts w:eastAsia="MingLiU_HKSCS"/>
          <w:sz w:val="26"/>
          <w:szCs w:val="26"/>
        </w:rPr>
      </w:pPr>
      <w:r w:rsidRPr="008B020C">
        <w:rPr>
          <w:rFonts w:eastAsia="MingLiU_HKSCS"/>
          <w:sz w:val="26"/>
          <w:szCs w:val="26"/>
        </w:rPr>
        <w:t>по коэффициенту смертности 5 место с показателем 6,3 на 1000 населения (РФ – 12,9 на 1000 населения);</w:t>
      </w:r>
    </w:p>
    <w:p w:rsidR="005E0FD8" w:rsidRPr="008B020C" w:rsidRDefault="005E0FD8" w:rsidP="008B020C">
      <w:pPr>
        <w:widowControl w:val="0"/>
        <w:ind w:firstLine="709"/>
        <w:jc w:val="both"/>
        <w:rPr>
          <w:rFonts w:eastAsia="MingLiU_HKSCS"/>
          <w:sz w:val="26"/>
          <w:szCs w:val="26"/>
        </w:rPr>
      </w:pPr>
      <w:r w:rsidRPr="008B020C">
        <w:rPr>
          <w:rFonts w:eastAsia="MingLiU_HKSCS"/>
          <w:sz w:val="26"/>
          <w:szCs w:val="26"/>
        </w:rPr>
        <w:t>по коэффициенту естественного прироста населения 6 место с показателем 6,2 на 1000 населения (РФ – «-3,0» на 1000 населения).</w:t>
      </w:r>
    </w:p>
    <w:p w:rsidR="005E0FD8" w:rsidRPr="00A20E22" w:rsidRDefault="005E0FD8" w:rsidP="005E0FD8">
      <w:pPr>
        <w:widowControl w:val="0"/>
        <w:ind w:firstLine="709"/>
        <w:jc w:val="both"/>
        <w:rPr>
          <w:sz w:val="28"/>
          <w:szCs w:val="28"/>
        </w:rPr>
      </w:pPr>
      <w:r w:rsidRPr="00A20E22">
        <w:rPr>
          <w:rFonts w:eastAsia="MingLiU_HKSCS"/>
          <w:sz w:val="26"/>
          <w:szCs w:val="26"/>
        </w:rPr>
        <w:t>В Югре сохранены положительные тенденции демографического развития, чему способствует проведение демографической политики, развитие системы здравоохранения, направленной на увеличение продолжительности жизни, рост численности населения за счет естественного прироста</w:t>
      </w:r>
      <w:r w:rsidRPr="00A20E22">
        <w:rPr>
          <w:sz w:val="26"/>
          <w:szCs w:val="26"/>
        </w:rPr>
        <w:t xml:space="preserve"> населения</w:t>
      </w:r>
      <w:r w:rsidRPr="00A20E22">
        <w:rPr>
          <w:sz w:val="28"/>
          <w:szCs w:val="28"/>
        </w:rPr>
        <w:t>.</w:t>
      </w:r>
    </w:p>
    <w:p w:rsidR="00D0224F" w:rsidRPr="00A20E22" w:rsidRDefault="00D0224F" w:rsidP="005E0FD8">
      <w:pPr>
        <w:widowControl w:val="0"/>
        <w:ind w:firstLine="709"/>
        <w:jc w:val="both"/>
        <w:rPr>
          <w:rFonts w:eastAsia="MingLiU_HKSCS"/>
          <w:sz w:val="26"/>
          <w:szCs w:val="26"/>
        </w:rPr>
      </w:pPr>
      <w:r w:rsidRPr="00A20E22">
        <w:rPr>
          <w:rFonts w:eastAsia="MingLiU_HKSCS"/>
          <w:sz w:val="26"/>
          <w:szCs w:val="26"/>
        </w:rPr>
        <w:t xml:space="preserve">Состояние здоровья и уровень смертности населения отражаются на показателе ожидаемая продолжительность </w:t>
      </w:r>
      <w:r w:rsidR="005E0FD8" w:rsidRPr="00A20E22">
        <w:rPr>
          <w:rFonts w:eastAsia="MingLiU_HKSCS"/>
          <w:sz w:val="26"/>
          <w:szCs w:val="26"/>
        </w:rPr>
        <w:t>жизни при рождении</w:t>
      </w:r>
      <w:r w:rsidRPr="00A20E22">
        <w:rPr>
          <w:rFonts w:eastAsia="MingLiU_HKSCS"/>
          <w:sz w:val="26"/>
          <w:szCs w:val="26"/>
        </w:rPr>
        <w:t xml:space="preserve">, которая в </w:t>
      </w:r>
      <w:r w:rsidR="005E0FD8" w:rsidRPr="00A20E22">
        <w:rPr>
          <w:rFonts w:eastAsia="MingLiU_HKSCS"/>
          <w:sz w:val="26"/>
          <w:szCs w:val="26"/>
        </w:rPr>
        <w:t xml:space="preserve">2019 году </w:t>
      </w:r>
      <w:r w:rsidRPr="00A20E22">
        <w:rPr>
          <w:rFonts w:eastAsia="MingLiU_HKSCS"/>
          <w:sz w:val="26"/>
          <w:szCs w:val="26"/>
        </w:rPr>
        <w:t xml:space="preserve">в </w:t>
      </w:r>
      <w:r w:rsidR="005E0FD8" w:rsidRPr="00A20E22">
        <w:rPr>
          <w:rFonts w:eastAsia="MingLiU_HKSCS"/>
          <w:sz w:val="26"/>
          <w:szCs w:val="26"/>
        </w:rPr>
        <w:t xml:space="preserve">Югре </w:t>
      </w:r>
      <w:r w:rsidRPr="00A20E22">
        <w:rPr>
          <w:rFonts w:eastAsia="MingLiU_HKSCS"/>
          <w:sz w:val="26"/>
          <w:szCs w:val="26"/>
        </w:rPr>
        <w:t>прогнозируется на уровне 74,6 года</w:t>
      </w:r>
      <w:r w:rsidRPr="00A20E22">
        <w:rPr>
          <w:rFonts w:eastAsia="MingLiU_HKSCS"/>
          <w:vertAlign w:val="superscript"/>
        </w:rPr>
        <w:footnoteReference w:id="36"/>
      </w:r>
      <w:r w:rsidRPr="00A20E22">
        <w:rPr>
          <w:rFonts w:eastAsia="MingLiU_HKSCS"/>
          <w:sz w:val="26"/>
          <w:szCs w:val="26"/>
        </w:rPr>
        <w:t>, что на 1,2 года выше, чем в среднем по России (73,4 лет</w:t>
      </w:r>
      <w:r w:rsidRPr="00A20E22">
        <w:rPr>
          <w:rFonts w:eastAsia="MingLiU_HKSCS"/>
          <w:vertAlign w:val="superscript"/>
        </w:rPr>
        <w:footnoteReference w:id="37"/>
      </w:r>
      <w:r w:rsidRPr="00A20E22">
        <w:rPr>
          <w:rFonts w:eastAsia="MingLiU_HKSCS"/>
          <w:sz w:val="26"/>
          <w:szCs w:val="26"/>
        </w:rPr>
        <w:t>).</w:t>
      </w:r>
    </w:p>
    <w:p w:rsidR="002B0E5D" w:rsidRPr="00A20E22" w:rsidRDefault="002B0E5D" w:rsidP="002B0E5D">
      <w:pPr>
        <w:widowControl w:val="0"/>
        <w:ind w:firstLine="709"/>
        <w:jc w:val="both"/>
        <w:rPr>
          <w:sz w:val="28"/>
          <w:szCs w:val="28"/>
        </w:rPr>
      </w:pPr>
    </w:p>
    <w:p w:rsidR="007D0162" w:rsidRPr="00A20E22" w:rsidRDefault="007D0162" w:rsidP="001B58EA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eastAsiaTheme="majorEastAsia" w:hAnsi="Times New Roman"/>
          <w:b w:val="0"/>
          <w:sz w:val="26"/>
          <w:szCs w:val="26"/>
        </w:rPr>
      </w:pPr>
      <w:bookmarkStart w:id="20" w:name="_Toc10912555"/>
      <w:r w:rsidRPr="00A20E22">
        <w:rPr>
          <w:rFonts w:ascii="Times New Roman" w:eastAsiaTheme="majorEastAsia" w:hAnsi="Times New Roman"/>
          <w:b w:val="0"/>
          <w:sz w:val="26"/>
          <w:szCs w:val="26"/>
        </w:rPr>
        <w:t>Рынок труда</w:t>
      </w:r>
      <w:bookmarkEnd w:id="20"/>
    </w:p>
    <w:p w:rsidR="007D0162" w:rsidRPr="00A20E22" w:rsidRDefault="007D0162" w:rsidP="007D0162">
      <w:pPr>
        <w:widowControl w:val="0"/>
        <w:ind w:firstLine="709"/>
        <w:jc w:val="both"/>
        <w:rPr>
          <w:sz w:val="26"/>
          <w:szCs w:val="26"/>
        </w:rPr>
      </w:pPr>
    </w:p>
    <w:p w:rsidR="00F94518" w:rsidRPr="00A20E22" w:rsidRDefault="00F94518" w:rsidP="00F94518">
      <w:pPr>
        <w:widowControl w:val="0"/>
        <w:ind w:firstLine="709"/>
        <w:jc w:val="both"/>
        <w:rPr>
          <w:rFonts w:eastAsia="MingLiU_HKSCS"/>
          <w:sz w:val="26"/>
          <w:szCs w:val="26"/>
        </w:rPr>
      </w:pPr>
      <w:r w:rsidRPr="00A20E22">
        <w:rPr>
          <w:rFonts w:eastAsia="MingLiU_HKSCS"/>
          <w:sz w:val="26"/>
          <w:szCs w:val="26"/>
        </w:rPr>
        <w:t xml:space="preserve">Югра входит в число субъектов РФ с наименьшим уровнем зарегистрированной безработицы, на 1 июля 2019 года показатель составил 0,44 % </w:t>
      </w:r>
      <w:proofErr w:type="gramStart"/>
      <w:r w:rsidRPr="00A20E22">
        <w:rPr>
          <w:rFonts w:eastAsia="MingLiU_HKSCS"/>
          <w:sz w:val="26"/>
          <w:szCs w:val="26"/>
        </w:rPr>
        <w:t>от</w:t>
      </w:r>
      <w:proofErr w:type="gramEnd"/>
      <w:r w:rsidRPr="00A20E22">
        <w:rPr>
          <w:rFonts w:eastAsia="MingLiU_HKSCS"/>
          <w:sz w:val="26"/>
          <w:szCs w:val="26"/>
        </w:rPr>
        <w:t xml:space="preserve"> экономически активного населения (в РФ – 1,0 %). </w:t>
      </w:r>
    </w:p>
    <w:p w:rsidR="00F94518" w:rsidRPr="00A20E22" w:rsidRDefault="00F94518" w:rsidP="00F94518">
      <w:pPr>
        <w:widowControl w:val="0"/>
        <w:ind w:firstLine="709"/>
        <w:jc w:val="both"/>
        <w:rPr>
          <w:rFonts w:eastAsia="Calibri"/>
          <w:sz w:val="26"/>
          <w:szCs w:val="26"/>
        </w:rPr>
      </w:pPr>
      <w:proofErr w:type="gramStart"/>
      <w:r w:rsidRPr="00A20E22">
        <w:rPr>
          <w:rFonts w:eastAsia="Calibri"/>
          <w:sz w:val="26"/>
          <w:szCs w:val="26"/>
        </w:rPr>
        <w:t xml:space="preserve">Уровень безработицы, рассчитанный по методологии Международной организации труда </w:t>
      </w:r>
      <w:r w:rsidR="009E412D" w:rsidRPr="00A20E22">
        <w:rPr>
          <w:sz w:val="28"/>
          <w:szCs w:val="28"/>
        </w:rPr>
        <w:t xml:space="preserve">в мае 2019 года </w:t>
      </w:r>
      <w:r w:rsidRPr="00A20E22">
        <w:rPr>
          <w:rFonts w:eastAsia="Calibri"/>
          <w:sz w:val="26"/>
          <w:szCs w:val="26"/>
        </w:rPr>
        <w:t>составил</w:t>
      </w:r>
      <w:proofErr w:type="gramEnd"/>
      <w:r w:rsidRPr="00A20E22">
        <w:rPr>
          <w:rFonts w:eastAsia="Calibri"/>
          <w:sz w:val="26"/>
          <w:szCs w:val="26"/>
        </w:rPr>
        <w:t xml:space="preserve"> 2,5 %, что на 2,1 % ниже среднероссийского (4,6 %) и значительно ниже относительно стран ОЭСР, таких </w:t>
      </w:r>
      <w:r w:rsidRPr="00A20E22">
        <w:rPr>
          <w:rFonts w:eastAsia="Calibri"/>
          <w:sz w:val="26"/>
          <w:szCs w:val="26"/>
        </w:rPr>
        <w:lastRenderedPageBreak/>
        <w:t xml:space="preserve">как </w:t>
      </w:r>
      <w:r w:rsidR="00044A79" w:rsidRPr="00A20E22">
        <w:rPr>
          <w:rFonts w:eastAsia="Calibri"/>
          <w:sz w:val="26"/>
          <w:szCs w:val="26"/>
        </w:rPr>
        <w:t>Дания (5,1 %), Франция (8,7</w:t>
      </w:r>
      <w:r w:rsidRPr="00A20E22">
        <w:rPr>
          <w:rFonts w:eastAsia="Calibri"/>
          <w:sz w:val="26"/>
          <w:szCs w:val="26"/>
        </w:rPr>
        <w:t xml:space="preserve"> %), Португали</w:t>
      </w:r>
      <w:r w:rsidR="00044A79" w:rsidRPr="00A20E22">
        <w:rPr>
          <w:rFonts w:eastAsia="Calibri"/>
          <w:sz w:val="26"/>
          <w:szCs w:val="26"/>
        </w:rPr>
        <w:t>я (6,5 %), Испания (14,1</w:t>
      </w:r>
      <w:r w:rsidRPr="00A20E22">
        <w:rPr>
          <w:rFonts w:eastAsia="Calibri"/>
          <w:sz w:val="26"/>
          <w:szCs w:val="26"/>
        </w:rPr>
        <w:t xml:space="preserve"> %), Швеция </w:t>
      </w:r>
      <w:r w:rsidR="00044A79" w:rsidRPr="00A20E22">
        <w:rPr>
          <w:rFonts w:eastAsia="Calibri"/>
          <w:sz w:val="26"/>
          <w:szCs w:val="26"/>
        </w:rPr>
        <w:t>(6,5</w:t>
      </w:r>
      <w:r w:rsidRPr="00A20E22">
        <w:rPr>
          <w:rFonts w:eastAsia="Calibri"/>
          <w:sz w:val="26"/>
          <w:szCs w:val="26"/>
        </w:rPr>
        <w:t xml:space="preserve"> %), США (3,</w:t>
      </w:r>
      <w:r w:rsidR="00044A79" w:rsidRPr="00A20E22">
        <w:rPr>
          <w:rFonts w:eastAsia="Calibri"/>
          <w:sz w:val="26"/>
          <w:szCs w:val="26"/>
        </w:rPr>
        <w:t>6</w:t>
      </w:r>
      <w:r w:rsidRPr="00A20E22">
        <w:rPr>
          <w:rFonts w:eastAsia="Calibri"/>
          <w:sz w:val="26"/>
          <w:szCs w:val="26"/>
        </w:rPr>
        <w:t xml:space="preserve"> %), Швейцария (4,7 %)</w:t>
      </w:r>
      <w:r w:rsidRPr="00A20E22">
        <w:rPr>
          <w:rStyle w:val="a8"/>
          <w:rFonts w:eastAsia="Calibri"/>
          <w:sz w:val="26"/>
          <w:szCs w:val="26"/>
        </w:rPr>
        <w:footnoteReference w:id="38"/>
      </w:r>
      <w:r w:rsidRPr="00A20E22">
        <w:rPr>
          <w:rFonts w:eastAsia="Calibri"/>
          <w:sz w:val="26"/>
          <w:szCs w:val="26"/>
        </w:rPr>
        <w:t xml:space="preserve">. </w:t>
      </w:r>
    </w:p>
    <w:p w:rsidR="00F94518" w:rsidRPr="00A20E22" w:rsidRDefault="008B020C" w:rsidP="00F94518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</w:t>
      </w:r>
      <w:r w:rsidR="00F94518" w:rsidRPr="00A20E22">
        <w:rPr>
          <w:sz w:val="26"/>
          <w:szCs w:val="26"/>
        </w:rPr>
        <w:t xml:space="preserve"> начала 2019 года организовано </w:t>
      </w:r>
      <w:r w:rsidR="00F94518" w:rsidRPr="00A20E22">
        <w:rPr>
          <w:bCs/>
          <w:sz w:val="26"/>
          <w:szCs w:val="26"/>
        </w:rPr>
        <w:t xml:space="preserve">4 289 </w:t>
      </w:r>
      <w:r w:rsidR="00F94518" w:rsidRPr="00A20E22">
        <w:rPr>
          <w:sz w:val="26"/>
          <w:szCs w:val="26"/>
        </w:rPr>
        <w:t>новых рабочих мест для временного и постоянного трудоустройства граждан</w:t>
      </w:r>
      <w:r>
        <w:rPr>
          <w:rStyle w:val="a8"/>
          <w:sz w:val="26"/>
          <w:szCs w:val="26"/>
        </w:rPr>
        <w:footnoteReference w:id="39"/>
      </w:r>
      <w:r w:rsidR="00F94518" w:rsidRPr="00A20E22">
        <w:rPr>
          <w:sz w:val="26"/>
          <w:szCs w:val="26"/>
        </w:rPr>
        <w:t xml:space="preserve">, в том числе: </w:t>
      </w:r>
      <w:r w:rsidR="00F94518" w:rsidRPr="00A20E22">
        <w:rPr>
          <w:rFonts w:eastAsiaTheme="minorEastAsia"/>
          <w:sz w:val="26"/>
          <w:szCs w:val="26"/>
        </w:rPr>
        <w:t>4038 временных рабочих мест; 251 постоянное рабочее место.</w:t>
      </w:r>
      <w:r w:rsidR="00BF1C91" w:rsidRPr="00A20E22">
        <w:rPr>
          <w:rFonts w:eastAsiaTheme="minorEastAsia"/>
          <w:sz w:val="26"/>
          <w:szCs w:val="26"/>
        </w:rPr>
        <w:t xml:space="preserve"> </w:t>
      </w:r>
      <w:r w:rsidR="00F94518" w:rsidRPr="00A20E22">
        <w:rPr>
          <w:sz w:val="26"/>
          <w:szCs w:val="26"/>
        </w:rPr>
        <w:t>Для трудоустройства несовершеннолетних граждан создано 8815 временных рабочих мест.</w:t>
      </w:r>
    </w:p>
    <w:p w:rsidR="00F94518" w:rsidRPr="00A20E22" w:rsidRDefault="00F94518" w:rsidP="00F94518">
      <w:pPr>
        <w:widowControl w:val="0"/>
        <w:ind w:firstLine="709"/>
        <w:jc w:val="both"/>
        <w:rPr>
          <w:sz w:val="28"/>
          <w:szCs w:val="28"/>
        </w:rPr>
      </w:pPr>
      <w:r w:rsidRPr="00A20E22">
        <w:rPr>
          <w:sz w:val="26"/>
          <w:szCs w:val="26"/>
        </w:rPr>
        <w:t>Численность безработных граждан, зарегистрированных в органах службы занятости населения, на 1 июля 2019 года составил 4033 человека, что на 8,4 % выше показателя на аналогичную дату 2018 года (3722 человека). Наблюдаемая динамика связана в первую очередь с увеличением минимальной и максимальной величины пособия по безработице с 1 января 2019 года</w:t>
      </w:r>
      <w:r w:rsidRPr="00A20E22">
        <w:rPr>
          <w:sz w:val="28"/>
          <w:szCs w:val="28"/>
        </w:rPr>
        <w:t>.</w:t>
      </w:r>
    </w:p>
    <w:p w:rsidR="00F94518" w:rsidRPr="00A20E22" w:rsidRDefault="00F94518" w:rsidP="00F94518">
      <w:pPr>
        <w:widowControl w:val="0"/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>В январе-июне 2019 года за содействием в поиске подходящей работы обратилось 24511 человек, что на 1,8 % больше, чем годом ранее (в январе-июне 2018 года – 24068 человек). За этот период при содействии органов службы занятости населения трудоустроено 12666 человек или 51,7</w:t>
      </w:r>
      <w:r w:rsidRPr="00A20E22">
        <w:rPr>
          <w:sz w:val="26"/>
          <w:szCs w:val="26"/>
          <w:lang w:val="en-US"/>
        </w:rPr>
        <w:t> </w:t>
      </w:r>
      <w:r w:rsidRPr="00A20E22">
        <w:rPr>
          <w:sz w:val="26"/>
          <w:szCs w:val="26"/>
        </w:rPr>
        <w:t>% от численности граждан, обратившихся по вопросу трудоустройству (в январе-июне 2018 года – 54,4</w:t>
      </w:r>
      <w:r w:rsidR="00DF0AC1">
        <w:rPr>
          <w:sz w:val="26"/>
          <w:szCs w:val="26"/>
        </w:rPr>
        <w:t xml:space="preserve"> </w:t>
      </w:r>
      <w:r w:rsidRPr="00A20E22">
        <w:rPr>
          <w:sz w:val="26"/>
          <w:szCs w:val="26"/>
        </w:rPr>
        <w:t>%).</w:t>
      </w:r>
      <w:r w:rsidRPr="00A20E22">
        <w:rPr>
          <w:sz w:val="28"/>
          <w:szCs w:val="28"/>
        </w:rPr>
        <w:t xml:space="preserve"> </w:t>
      </w:r>
      <w:r w:rsidRPr="00A20E22">
        <w:rPr>
          <w:sz w:val="26"/>
          <w:szCs w:val="26"/>
        </w:rPr>
        <w:t>Снижение процента трудоустройства обусловлено снижением вакансий, заявленных работодателями в органы службы занятости населения.</w:t>
      </w:r>
    </w:p>
    <w:p w:rsidR="00F94518" w:rsidRPr="00A20E22" w:rsidRDefault="00F94518" w:rsidP="00F94518">
      <w:pPr>
        <w:widowControl w:val="0"/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>На 1 июля 2019 года количество заявленных вакансий от работодателей составило 19,0 тыс. единиц. Коэффициент напряженности по округу составляет 0,3 незанятых граждан, зарегистрированных в органах службы занятости населения автономного округа на 1 рабочее место.</w:t>
      </w:r>
    </w:p>
    <w:p w:rsidR="00503486" w:rsidRPr="00A20E22" w:rsidRDefault="00503486" w:rsidP="0046351E">
      <w:pPr>
        <w:widowControl w:val="0"/>
        <w:ind w:firstLine="709"/>
        <w:jc w:val="both"/>
        <w:rPr>
          <w:sz w:val="26"/>
          <w:szCs w:val="26"/>
        </w:rPr>
      </w:pPr>
    </w:p>
    <w:p w:rsidR="009A3419" w:rsidRPr="00A20E22" w:rsidRDefault="009A3419" w:rsidP="001B58EA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eastAsiaTheme="majorEastAsia" w:hAnsi="Times New Roman"/>
          <w:b w:val="0"/>
          <w:sz w:val="26"/>
          <w:szCs w:val="26"/>
        </w:rPr>
      </w:pPr>
      <w:bookmarkStart w:id="21" w:name="_Toc10912556"/>
      <w:r w:rsidRPr="00A20E22">
        <w:rPr>
          <w:rFonts w:ascii="Times New Roman" w:eastAsiaTheme="majorEastAsia" w:hAnsi="Times New Roman"/>
          <w:b w:val="0"/>
          <w:sz w:val="26"/>
          <w:szCs w:val="26"/>
        </w:rPr>
        <w:t>Развитие социальной сферы</w:t>
      </w:r>
      <w:bookmarkEnd w:id="21"/>
    </w:p>
    <w:p w:rsidR="009A3419" w:rsidRPr="00A20E22" w:rsidRDefault="009A3419" w:rsidP="009A3419">
      <w:pPr>
        <w:widowControl w:val="0"/>
        <w:ind w:firstLine="709"/>
        <w:jc w:val="both"/>
        <w:rPr>
          <w:rFonts w:eastAsia="Batang"/>
          <w:sz w:val="26"/>
          <w:szCs w:val="26"/>
        </w:rPr>
      </w:pPr>
    </w:p>
    <w:p w:rsidR="00951044" w:rsidRPr="00A20E22" w:rsidRDefault="00951044" w:rsidP="00951044">
      <w:pPr>
        <w:widowControl w:val="0"/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 xml:space="preserve">Доля расходов консолидированного бюджета автономного округа на развитие и функционирование отраслей социально-культурной направленности </w:t>
      </w:r>
      <w:r w:rsidR="00E360DF" w:rsidRPr="00A20E22">
        <w:rPr>
          <w:sz w:val="26"/>
          <w:szCs w:val="26"/>
        </w:rPr>
        <w:t xml:space="preserve">в </w:t>
      </w:r>
      <w:r w:rsidR="00BC5CC2">
        <w:rPr>
          <w:sz w:val="26"/>
          <w:szCs w:val="26"/>
        </w:rPr>
        <w:t>январе-июне</w:t>
      </w:r>
      <w:r w:rsidR="00E360DF" w:rsidRPr="00A20E22">
        <w:rPr>
          <w:sz w:val="26"/>
          <w:szCs w:val="26"/>
        </w:rPr>
        <w:t xml:space="preserve"> 2019 года </w:t>
      </w:r>
      <w:r w:rsidRPr="00A20E22">
        <w:rPr>
          <w:sz w:val="26"/>
          <w:szCs w:val="26"/>
        </w:rPr>
        <w:t xml:space="preserve">составила </w:t>
      </w:r>
      <w:r w:rsidR="00B3290D" w:rsidRPr="00A20E22">
        <w:rPr>
          <w:sz w:val="26"/>
          <w:szCs w:val="26"/>
        </w:rPr>
        <w:t>73,8</w:t>
      </w:r>
      <w:r w:rsidR="003C369E" w:rsidRPr="00A20E22">
        <w:rPr>
          <w:sz w:val="26"/>
          <w:szCs w:val="26"/>
        </w:rPr>
        <w:t xml:space="preserve"> </w:t>
      </w:r>
      <w:r w:rsidRPr="00A20E22">
        <w:rPr>
          <w:sz w:val="26"/>
          <w:szCs w:val="26"/>
        </w:rPr>
        <w:t xml:space="preserve">%, в абсолютной сумме </w:t>
      </w:r>
      <w:r w:rsidR="00B3290D" w:rsidRPr="00A20E22">
        <w:rPr>
          <w:sz w:val="26"/>
          <w:szCs w:val="26"/>
        </w:rPr>
        <w:t>90,0</w:t>
      </w:r>
      <w:r w:rsidRPr="00A20E22">
        <w:rPr>
          <w:sz w:val="26"/>
          <w:szCs w:val="26"/>
        </w:rPr>
        <w:t xml:space="preserve"> млрд. рублей. </w:t>
      </w:r>
    </w:p>
    <w:p w:rsidR="009A3419" w:rsidRPr="00A20E22" w:rsidRDefault="009A3419" w:rsidP="009A3419">
      <w:pPr>
        <w:widowControl w:val="0"/>
        <w:jc w:val="center"/>
        <w:rPr>
          <w:sz w:val="26"/>
          <w:szCs w:val="26"/>
        </w:rPr>
      </w:pPr>
    </w:p>
    <w:p w:rsidR="009A3419" w:rsidRPr="00A20E22" w:rsidRDefault="009A3419" w:rsidP="001B58EA">
      <w:pPr>
        <w:pStyle w:val="2"/>
        <w:numPr>
          <w:ilvl w:val="0"/>
          <w:numId w:val="0"/>
        </w:numPr>
        <w:rPr>
          <w:rFonts w:eastAsiaTheme="majorEastAsia"/>
          <w:color w:val="auto"/>
        </w:rPr>
      </w:pPr>
      <w:bookmarkStart w:id="22" w:name="_Toc10912557"/>
      <w:r w:rsidRPr="00A20E22">
        <w:rPr>
          <w:rFonts w:eastAsiaTheme="majorEastAsia"/>
          <w:color w:val="auto"/>
        </w:rPr>
        <w:t>Образование</w:t>
      </w:r>
      <w:bookmarkEnd w:id="22"/>
    </w:p>
    <w:p w:rsidR="009A3419" w:rsidRPr="00A20E22" w:rsidRDefault="009A3419" w:rsidP="009A3419">
      <w:pPr>
        <w:ind w:firstLine="709"/>
        <w:jc w:val="both"/>
        <w:rPr>
          <w:sz w:val="26"/>
          <w:szCs w:val="26"/>
        </w:rPr>
      </w:pPr>
    </w:p>
    <w:p w:rsidR="002C79D4" w:rsidRPr="00A20E22" w:rsidRDefault="002C79D4" w:rsidP="002C79D4">
      <w:pPr>
        <w:widowControl w:val="0"/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>В январе-июне 2019 года сеть образовательных организаций с учетом проводимых мероприятий, направленных на повышение эффективности использования материально-технической базы организаций, современных инновационных методов в процесс обучения, представлена 83</w:t>
      </w:r>
      <w:r w:rsidR="007C75F6" w:rsidRPr="00A20E22">
        <w:rPr>
          <w:sz w:val="26"/>
          <w:szCs w:val="26"/>
        </w:rPr>
        <w:t>7</w:t>
      </w:r>
      <w:r w:rsidRPr="00A20E22">
        <w:rPr>
          <w:sz w:val="26"/>
          <w:szCs w:val="26"/>
        </w:rPr>
        <w:t xml:space="preserve"> организациями, в которых количество обучающихся (воспитанников) – 49</w:t>
      </w:r>
      <w:r w:rsidR="007C75F6" w:rsidRPr="00A20E22">
        <w:rPr>
          <w:sz w:val="26"/>
          <w:szCs w:val="26"/>
        </w:rPr>
        <w:t>8,2</w:t>
      </w:r>
      <w:r w:rsidRPr="00A20E22">
        <w:rPr>
          <w:sz w:val="26"/>
          <w:szCs w:val="26"/>
        </w:rPr>
        <w:t xml:space="preserve"> тыс. человек, численность работников – 61,9 тыс. человек, из них 29,8 тыс. педагогических и научных работников. Доля педагогических работников в общем количестве работающих в сфере образования – 48,2 %. В образовательных организациях на 1 физическое лицо приходится 1,3 ставки, в том числе педагогический персонал – 1,43 ставки.</w:t>
      </w:r>
    </w:p>
    <w:p w:rsidR="002C79D4" w:rsidRPr="00BC5CC2" w:rsidRDefault="002C79D4" w:rsidP="002C79D4">
      <w:pPr>
        <w:widowControl w:val="0"/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 xml:space="preserve">Во всех муниципальных образованиях действует автоматизированная </w:t>
      </w:r>
      <w:r w:rsidRPr="00BC5CC2">
        <w:rPr>
          <w:sz w:val="26"/>
          <w:szCs w:val="26"/>
        </w:rPr>
        <w:t>информационная система «Электронный детский сад».</w:t>
      </w:r>
    </w:p>
    <w:p w:rsidR="002C79D4" w:rsidRPr="00BC5CC2" w:rsidRDefault="002C79D4" w:rsidP="002C79D4">
      <w:pPr>
        <w:widowControl w:val="0"/>
        <w:ind w:firstLine="709"/>
        <w:jc w:val="both"/>
        <w:rPr>
          <w:sz w:val="26"/>
          <w:szCs w:val="26"/>
        </w:rPr>
      </w:pPr>
      <w:r w:rsidRPr="00BC5CC2">
        <w:rPr>
          <w:sz w:val="26"/>
          <w:szCs w:val="26"/>
        </w:rPr>
        <w:t xml:space="preserve">На 1 июля 2019 года насчитывается 421 дошкольная образовательная организация, численность </w:t>
      </w:r>
      <w:proofErr w:type="gramStart"/>
      <w:r w:rsidRPr="00BC5CC2">
        <w:rPr>
          <w:sz w:val="26"/>
          <w:szCs w:val="26"/>
        </w:rPr>
        <w:t>воспитанников</w:t>
      </w:r>
      <w:proofErr w:type="gramEnd"/>
      <w:r w:rsidRPr="00BC5CC2">
        <w:rPr>
          <w:sz w:val="26"/>
          <w:szCs w:val="26"/>
        </w:rPr>
        <w:t xml:space="preserve"> в которых составляет 119,8 тыс. детей. По состоянию на 1 июля 2019 доступность дошкольного образования для детей в </w:t>
      </w:r>
      <w:r w:rsidRPr="00BC5CC2">
        <w:rPr>
          <w:sz w:val="26"/>
          <w:szCs w:val="26"/>
        </w:rPr>
        <w:lastRenderedPageBreak/>
        <w:t>возрасте старше 3 лет составляет 100</w:t>
      </w:r>
      <w:r w:rsidR="00DF0AC1" w:rsidRPr="00BC5CC2">
        <w:rPr>
          <w:sz w:val="26"/>
          <w:szCs w:val="26"/>
        </w:rPr>
        <w:t xml:space="preserve">,0 </w:t>
      </w:r>
      <w:r w:rsidRPr="00BC5CC2">
        <w:rPr>
          <w:sz w:val="26"/>
          <w:szCs w:val="26"/>
        </w:rPr>
        <w:t>%, от 1,5 до 3-х лет – 85,1</w:t>
      </w:r>
      <w:r w:rsidR="00DF0AC1" w:rsidRPr="00BC5CC2">
        <w:rPr>
          <w:sz w:val="26"/>
          <w:szCs w:val="26"/>
        </w:rPr>
        <w:t xml:space="preserve"> </w:t>
      </w:r>
      <w:r w:rsidRPr="00BC5CC2">
        <w:rPr>
          <w:sz w:val="26"/>
          <w:szCs w:val="26"/>
        </w:rPr>
        <w:t>%.</w:t>
      </w:r>
    </w:p>
    <w:p w:rsidR="002C79D4" w:rsidRPr="00BC5CC2" w:rsidRDefault="002C79D4" w:rsidP="002C79D4">
      <w:pPr>
        <w:widowControl w:val="0"/>
        <w:ind w:firstLine="709"/>
        <w:jc w:val="both"/>
        <w:rPr>
          <w:sz w:val="26"/>
          <w:szCs w:val="26"/>
        </w:rPr>
      </w:pPr>
      <w:r w:rsidRPr="00BC5CC2">
        <w:rPr>
          <w:sz w:val="26"/>
          <w:szCs w:val="26"/>
        </w:rPr>
        <w:t>Наряду с муниципальными образовательными организациями услуги дошкольного образования предоставляют 25 частных организаци</w:t>
      </w:r>
      <w:r w:rsidR="002206FD" w:rsidRPr="00BC5CC2">
        <w:rPr>
          <w:sz w:val="26"/>
          <w:szCs w:val="26"/>
        </w:rPr>
        <w:t>й</w:t>
      </w:r>
      <w:r w:rsidRPr="00BC5CC2">
        <w:rPr>
          <w:sz w:val="26"/>
          <w:szCs w:val="26"/>
        </w:rPr>
        <w:t xml:space="preserve">, имеющих лицензию на ведение образовательной деятельности, на 2338 места. </w:t>
      </w:r>
    </w:p>
    <w:p w:rsidR="002C79D4" w:rsidRPr="00BC5CC2" w:rsidRDefault="002C79D4" w:rsidP="002C79D4">
      <w:pPr>
        <w:widowControl w:val="0"/>
        <w:ind w:firstLine="709"/>
        <w:jc w:val="both"/>
        <w:rPr>
          <w:sz w:val="26"/>
          <w:szCs w:val="26"/>
        </w:rPr>
      </w:pPr>
      <w:r w:rsidRPr="00BC5CC2">
        <w:rPr>
          <w:sz w:val="26"/>
          <w:szCs w:val="26"/>
        </w:rPr>
        <w:t>Реализуется пилотный проект «</w:t>
      </w:r>
      <w:proofErr w:type="spellStart"/>
      <w:r w:rsidRPr="00BC5CC2">
        <w:rPr>
          <w:sz w:val="26"/>
          <w:szCs w:val="26"/>
        </w:rPr>
        <w:t>Билдинг</w:t>
      </w:r>
      <w:proofErr w:type="spellEnd"/>
      <w:r w:rsidRPr="00BC5CC2">
        <w:rPr>
          <w:sz w:val="26"/>
          <w:szCs w:val="26"/>
        </w:rPr>
        <w:t>-сад», такие дошкольные организации действуют в 4 муниципальных образованиях – 10 объектов на 739 мест. В 2019 году планируется ввод еще двух «</w:t>
      </w:r>
      <w:proofErr w:type="spellStart"/>
      <w:r w:rsidRPr="00BC5CC2">
        <w:rPr>
          <w:sz w:val="26"/>
          <w:szCs w:val="26"/>
        </w:rPr>
        <w:t>Билдинг</w:t>
      </w:r>
      <w:proofErr w:type="spellEnd"/>
      <w:r w:rsidRPr="00BC5CC2">
        <w:rPr>
          <w:sz w:val="26"/>
          <w:szCs w:val="26"/>
        </w:rPr>
        <w:t>-садов» в г. Нижневартовск на 140 мест и в г. Сургуте на 80 мест.</w:t>
      </w:r>
    </w:p>
    <w:p w:rsidR="002C79D4" w:rsidRPr="00BC5CC2" w:rsidRDefault="002C79D4" w:rsidP="002C79D4">
      <w:pPr>
        <w:widowControl w:val="0"/>
        <w:ind w:firstLine="709"/>
        <w:jc w:val="both"/>
        <w:rPr>
          <w:sz w:val="26"/>
          <w:szCs w:val="26"/>
        </w:rPr>
      </w:pPr>
      <w:r w:rsidRPr="00BC5CC2">
        <w:rPr>
          <w:sz w:val="26"/>
          <w:szCs w:val="26"/>
        </w:rPr>
        <w:t xml:space="preserve">По состоянию на 1 июля 2019 года в 9 муниципальных образованиях автономного округа 37 индивидуальных предпринимателей оказывает услуги присмотра и ухода за детьми младшего и дошкольного возраста. Услуги получают   </w:t>
      </w:r>
      <w:r w:rsidR="00DF0AC1" w:rsidRPr="00BC5CC2">
        <w:rPr>
          <w:sz w:val="26"/>
          <w:szCs w:val="26"/>
        </w:rPr>
        <w:t>1</w:t>
      </w:r>
      <w:r w:rsidRPr="00BC5CC2">
        <w:rPr>
          <w:sz w:val="26"/>
          <w:szCs w:val="26"/>
        </w:rPr>
        <w:t xml:space="preserve">582 ребенка. </w:t>
      </w:r>
    </w:p>
    <w:p w:rsidR="002C79D4" w:rsidRPr="00A20E22" w:rsidRDefault="002C79D4" w:rsidP="002C79D4">
      <w:pPr>
        <w:widowControl w:val="0"/>
        <w:ind w:firstLine="709"/>
        <w:jc w:val="both"/>
        <w:rPr>
          <w:sz w:val="26"/>
          <w:szCs w:val="26"/>
        </w:rPr>
      </w:pPr>
      <w:r w:rsidRPr="00BC5CC2">
        <w:rPr>
          <w:sz w:val="26"/>
          <w:szCs w:val="26"/>
        </w:rPr>
        <w:t>На базе 165 дошкольных образовательных организаций функционируют группы кратковременного пребывания, которые посещают 1142 детей, в том числе 961 ребенок в возрасте до</w:t>
      </w:r>
      <w:r w:rsidR="00BC5CC2" w:rsidRPr="00BC5CC2">
        <w:rPr>
          <w:sz w:val="26"/>
          <w:szCs w:val="26"/>
        </w:rPr>
        <w:t xml:space="preserve"> </w:t>
      </w:r>
      <w:r w:rsidR="00DF0AC1" w:rsidRPr="00BC5CC2">
        <w:rPr>
          <w:sz w:val="26"/>
          <w:szCs w:val="26"/>
        </w:rPr>
        <w:t xml:space="preserve">3 </w:t>
      </w:r>
      <w:r w:rsidRPr="00BC5CC2">
        <w:rPr>
          <w:sz w:val="26"/>
          <w:szCs w:val="26"/>
        </w:rPr>
        <w:t>лет.</w:t>
      </w:r>
      <w:r w:rsidRPr="00A20E22">
        <w:rPr>
          <w:sz w:val="26"/>
          <w:szCs w:val="26"/>
        </w:rPr>
        <w:t xml:space="preserve"> </w:t>
      </w:r>
    </w:p>
    <w:p w:rsidR="002C79D4" w:rsidRPr="00A20E22" w:rsidRDefault="002C79D4" w:rsidP="002C79D4">
      <w:pPr>
        <w:widowControl w:val="0"/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 xml:space="preserve">На базе государственного образовательного бюджетного учреждения среднего профессионального образования «Ханты-Мансийский технолого-педагогический колледж» функционируют группы по уходу и присмотру за детьми дошкольного возраста на 15 мест. </w:t>
      </w:r>
    </w:p>
    <w:p w:rsidR="002C79D4" w:rsidRPr="00A20E22" w:rsidRDefault="002C79D4" w:rsidP="002C79D4">
      <w:pPr>
        <w:ind w:firstLine="720"/>
        <w:jc w:val="both"/>
        <w:rPr>
          <w:sz w:val="26"/>
          <w:szCs w:val="26"/>
        </w:rPr>
      </w:pPr>
      <w:r w:rsidRPr="00A20E22">
        <w:rPr>
          <w:sz w:val="26"/>
          <w:szCs w:val="26"/>
        </w:rPr>
        <w:t>В Югре сформирована комплексная система оказания содействия бизнесу, действующему в сфере дошкольного образования, направленная на развитие конкуренции, формирование равных условий функционирования как государственного сектора, так и бизнеса.</w:t>
      </w:r>
    </w:p>
    <w:p w:rsidR="002C79D4" w:rsidRPr="00A20E22" w:rsidRDefault="002C79D4" w:rsidP="002C79D4">
      <w:pPr>
        <w:ind w:firstLine="720"/>
        <w:jc w:val="both"/>
        <w:rPr>
          <w:sz w:val="26"/>
          <w:szCs w:val="26"/>
        </w:rPr>
      </w:pPr>
      <w:r w:rsidRPr="00A20E22">
        <w:rPr>
          <w:sz w:val="26"/>
          <w:szCs w:val="26"/>
        </w:rPr>
        <w:t>По состоянию на 1 июля 2019 года выдано 2311 «сертификатов дошкольника» на право финансового обеспечения места в организации, осуществляющей образовательную деятельность по реализации образовательных программ дошкольного образования.</w:t>
      </w:r>
    </w:p>
    <w:p w:rsidR="002C79D4" w:rsidRPr="00A20E22" w:rsidRDefault="002C79D4" w:rsidP="002C79D4">
      <w:pPr>
        <w:ind w:firstLine="720"/>
        <w:jc w:val="both"/>
        <w:rPr>
          <w:sz w:val="26"/>
          <w:szCs w:val="26"/>
        </w:rPr>
      </w:pPr>
      <w:r w:rsidRPr="00A20E22">
        <w:rPr>
          <w:sz w:val="26"/>
          <w:szCs w:val="26"/>
        </w:rPr>
        <w:t>Все организации, реализующие программы дошкольного образования, имеют равный доступ к бюджетному финансированию в части финансового обеспечения затрат на реализацию образовательных программ через субвенции органам местного самоуправления.</w:t>
      </w:r>
    </w:p>
    <w:p w:rsidR="002C79D4" w:rsidRPr="00852407" w:rsidRDefault="002C79D4" w:rsidP="002C79D4">
      <w:pPr>
        <w:ind w:firstLine="720"/>
        <w:jc w:val="both"/>
        <w:rPr>
          <w:sz w:val="26"/>
          <w:szCs w:val="26"/>
        </w:rPr>
      </w:pPr>
      <w:r w:rsidRPr="00852407">
        <w:rPr>
          <w:sz w:val="26"/>
          <w:szCs w:val="26"/>
        </w:rPr>
        <w:t>С целью развития регионального экспертного сообщества функционирует сайт «</w:t>
      </w:r>
      <w:proofErr w:type="spellStart"/>
      <w:r w:rsidRPr="00852407">
        <w:rPr>
          <w:sz w:val="26"/>
          <w:szCs w:val="26"/>
        </w:rPr>
        <w:t>Школлеги</w:t>
      </w:r>
      <w:proofErr w:type="spellEnd"/>
      <w:r w:rsidRPr="00852407">
        <w:rPr>
          <w:sz w:val="26"/>
          <w:szCs w:val="26"/>
        </w:rPr>
        <w:t>»</w:t>
      </w:r>
      <w:r w:rsidRPr="00852407">
        <w:rPr>
          <w:rStyle w:val="a8"/>
          <w:sz w:val="26"/>
          <w:szCs w:val="26"/>
        </w:rPr>
        <w:footnoteReference w:id="40"/>
      </w:r>
      <w:r w:rsidRPr="00852407">
        <w:rPr>
          <w:sz w:val="26"/>
          <w:szCs w:val="26"/>
        </w:rPr>
        <w:t xml:space="preserve"> – ресурс для профессиональных коммуникаций, повышения квалификации, обмена опытом, внедрения инноваций в образовании, количество пользователей составляет 13,</w:t>
      </w:r>
      <w:r w:rsidR="00B97DD2" w:rsidRPr="00852407">
        <w:rPr>
          <w:sz w:val="26"/>
          <w:szCs w:val="26"/>
        </w:rPr>
        <w:t>7</w:t>
      </w:r>
      <w:r w:rsidRPr="00852407">
        <w:rPr>
          <w:sz w:val="26"/>
          <w:szCs w:val="26"/>
        </w:rPr>
        <w:t xml:space="preserve"> тыс. человек.</w:t>
      </w:r>
    </w:p>
    <w:p w:rsidR="002C79D4" w:rsidRPr="00852407" w:rsidRDefault="002C79D4" w:rsidP="002C79D4">
      <w:pPr>
        <w:ind w:firstLine="720"/>
        <w:jc w:val="both"/>
        <w:rPr>
          <w:sz w:val="26"/>
          <w:szCs w:val="26"/>
        </w:rPr>
      </w:pPr>
      <w:r w:rsidRPr="00852407">
        <w:rPr>
          <w:sz w:val="26"/>
          <w:szCs w:val="26"/>
        </w:rPr>
        <w:t xml:space="preserve">Проведен региональный этап Всероссийской олимпиады школьников по 21 общеобразовательному предмету, по 9 предметам был апробирован формат с использованием дистанционных технологий. В региональном этапе приняли участие </w:t>
      </w:r>
      <w:r w:rsidR="00830609" w:rsidRPr="00852407">
        <w:rPr>
          <w:sz w:val="26"/>
          <w:szCs w:val="26"/>
        </w:rPr>
        <w:t>1271</w:t>
      </w:r>
      <w:r w:rsidRPr="00852407">
        <w:rPr>
          <w:sz w:val="26"/>
          <w:szCs w:val="26"/>
        </w:rPr>
        <w:t xml:space="preserve"> обучающи</w:t>
      </w:r>
      <w:r w:rsidR="00BC5CC2" w:rsidRPr="00852407">
        <w:rPr>
          <w:sz w:val="26"/>
          <w:szCs w:val="26"/>
        </w:rPr>
        <w:t>й</w:t>
      </w:r>
      <w:r w:rsidRPr="00852407">
        <w:rPr>
          <w:sz w:val="26"/>
          <w:szCs w:val="26"/>
        </w:rPr>
        <w:t xml:space="preserve">ся (2018 год – 1335), по итогам определено </w:t>
      </w:r>
      <w:r w:rsidR="00830609" w:rsidRPr="00852407">
        <w:rPr>
          <w:sz w:val="26"/>
          <w:szCs w:val="26"/>
        </w:rPr>
        <w:t>137</w:t>
      </w:r>
      <w:r w:rsidRPr="00852407">
        <w:rPr>
          <w:sz w:val="26"/>
          <w:szCs w:val="26"/>
        </w:rPr>
        <w:t xml:space="preserve"> победителей и призеров (1 место – 4</w:t>
      </w:r>
      <w:r w:rsidR="00830609" w:rsidRPr="00852407">
        <w:rPr>
          <w:sz w:val="26"/>
          <w:szCs w:val="26"/>
        </w:rPr>
        <w:t>3</w:t>
      </w:r>
      <w:r w:rsidRPr="00852407">
        <w:rPr>
          <w:sz w:val="26"/>
          <w:szCs w:val="26"/>
        </w:rPr>
        <w:t xml:space="preserve"> человека, 2 место – </w:t>
      </w:r>
      <w:r w:rsidR="00830609" w:rsidRPr="00852407">
        <w:rPr>
          <w:sz w:val="26"/>
          <w:szCs w:val="26"/>
        </w:rPr>
        <w:t>49</w:t>
      </w:r>
      <w:r w:rsidRPr="00852407">
        <w:rPr>
          <w:sz w:val="26"/>
          <w:szCs w:val="26"/>
        </w:rPr>
        <w:t xml:space="preserve"> человек, 3 место –</w:t>
      </w:r>
      <w:r w:rsidR="00830609" w:rsidRPr="00852407">
        <w:rPr>
          <w:sz w:val="26"/>
          <w:szCs w:val="26"/>
        </w:rPr>
        <w:t xml:space="preserve"> 45</w:t>
      </w:r>
      <w:r w:rsidRPr="00852407">
        <w:rPr>
          <w:sz w:val="26"/>
          <w:szCs w:val="26"/>
        </w:rPr>
        <w:t xml:space="preserve"> человек). </w:t>
      </w:r>
    </w:p>
    <w:p w:rsidR="002C79D4" w:rsidRPr="00852407" w:rsidRDefault="002C79D4" w:rsidP="002C79D4">
      <w:pPr>
        <w:ind w:firstLine="709"/>
        <w:jc w:val="both"/>
        <w:rPr>
          <w:sz w:val="26"/>
          <w:szCs w:val="26"/>
        </w:rPr>
      </w:pPr>
      <w:r w:rsidRPr="00852407">
        <w:rPr>
          <w:sz w:val="26"/>
          <w:szCs w:val="26"/>
        </w:rPr>
        <w:t xml:space="preserve">Состоялась региональная олимпиада школьников по родным языкам и литературе коренных малочисленных народов Севера, в которой приняли участие 22 обучающихся из 6 муниципальных образований автономного округа, определено 6 победителей и призеров. </w:t>
      </w:r>
    </w:p>
    <w:p w:rsidR="002C79D4" w:rsidRPr="00852407" w:rsidRDefault="002C79D4" w:rsidP="002C79D4">
      <w:pPr>
        <w:ind w:firstLine="709"/>
        <w:jc w:val="both"/>
        <w:rPr>
          <w:sz w:val="26"/>
          <w:szCs w:val="26"/>
        </w:rPr>
      </w:pPr>
      <w:r w:rsidRPr="00852407">
        <w:rPr>
          <w:sz w:val="26"/>
          <w:szCs w:val="26"/>
        </w:rPr>
        <w:t xml:space="preserve">В целях реализации принципа равных прав на образование для детей с особенностями развития в автономном округе действует вариативная сеть </w:t>
      </w:r>
      <w:r w:rsidRPr="00852407">
        <w:rPr>
          <w:sz w:val="26"/>
          <w:szCs w:val="26"/>
        </w:rPr>
        <w:lastRenderedPageBreak/>
        <w:t>дошкольных и школьных образовательных организаций, реализующих адаптированные образовательные программы для детей с ограниченными возможностями здоровья и детей-инвалидов, в том числе учитывающая принципы инклюзивного образования.</w:t>
      </w:r>
    </w:p>
    <w:p w:rsidR="002C79D4" w:rsidRPr="00A20E22" w:rsidRDefault="002C79D4" w:rsidP="002C79D4">
      <w:pPr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 xml:space="preserve">Дети с особенностями развития обучаются как в общеобразовательных организациях совместно с развивающимися в норме сверстниками, так и в специальных образовательных учреждениях. По специальным программам обучается 8,9 тыс. человек, в т. ч. 2,6 тыс. ребенка-инвалида. </w:t>
      </w:r>
    </w:p>
    <w:p w:rsidR="002C79D4" w:rsidRPr="00A20E22" w:rsidRDefault="002C79D4" w:rsidP="002C79D4">
      <w:pPr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>Функционирует 17 опорных образовательных центров, обеспечивающих работу с детьми, имеющими особенности развития, 8 государственных образовательных организаций выступают в качестве Ресурсного центра по сопровождению образовательных организаций по вопросам теории и практики реализации инклюзивного образования.</w:t>
      </w:r>
    </w:p>
    <w:p w:rsidR="002C79D4" w:rsidRPr="00A20E22" w:rsidRDefault="002C79D4" w:rsidP="002C79D4">
      <w:pPr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 xml:space="preserve">Правительство Югры и автономная некоммерческая организация «Агентство стратегических инициатив по продвижению новых проектов» на основании соглашения о сотрудничестве реализуют стратегическую инициативу «Новая модель системы дополнительного образования детей». Создается сеть опорных ресурсных центров, организованных по принципу индустриальных парков для субъектов малого и среднего бизнеса, реализующих программы дополнительного образования детей, прежде всего технической направленности. Акцент в создаваемых ресурсных центрах сделан на развитие научно-технического направления в дополнительном образовании, использование самых современных программных продуктов и реализацию отраслевых </w:t>
      </w:r>
      <w:proofErr w:type="spellStart"/>
      <w:r w:rsidRPr="00A20E22">
        <w:rPr>
          <w:sz w:val="26"/>
          <w:szCs w:val="26"/>
        </w:rPr>
        <w:t>профориентационных</w:t>
      </w:r>
      <w:proofErr w:type="spellEnd"/>
      <w:r w:rsidRPr="00A20E22">
        <w:rPr>
          <w:sz w:val="26"/>
          <w:szCs w:val="26"/>
        </w:rPr>
        <w:t xml:space="preserve"> программ. Реализация инициативы подразумевает создание сети детских технопарков, где дети могли бы получать дополнительное образование по техническим и инженерным специальностям.</w:t>
      </w:r>
    </w:p>
    <w:p w:rsidR="002C79D4" w:rsidRPr="00A20E22" w:rsidRDefault="002C79D4" w:rsidP="002C79D4">
      <w:pPr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>Детские технопарки-</w:t>
      </w:r>
      <w:proofErr w:type="spellStart"/>
      <w:r w:rsidRPr="00A20E22">
        <w:rPr>
          <w:sz w:val="26"/>
          <w:szCs w:val="26"/>
        </w:rPr>
        <w:t>кванториумы</w:t>
      </w:r>
      <w:proofErr w:type="spellEnd"/>
      <w:r w:rsidRPr="00A20E22">
        <w:rPr>
          <w:sz w:val="26"/>
          <w:szCs w:val="26"/>
        </w:rPr>
        <w:t xml:space="preserve"> функционируют в городах</w:t>
      </w:r>
      <w:r w:rsidRPr="00A20E22">
        <w:rPr>
          <w:bCs/>
          <w:sz w:val="26"/>
          <w:szCs w:val="26"/>
        </w:rPr>
        <w:t xml:space="preserve"> Ханты-Мансийск, Нефтеюганск, Югорск, Сургут.</w:t>
      </w:r>
      <w:r w:rsidRPr="00A20E22">
        <w:rPr>
          <w:sz w:val="26"/>
          <w:szCs w:val="26"/>
        </w:rPr>
        <w:t xml:space="preserve"> </w:t>
      </w:r>
      <w:proofErr w:type="gramStart"/>
      <w:r w:rsidRPr="00A20E22">
        <w:rPr>
          <w:sz w:val="26"/>
          <w:szCs w:val="26"/>
        </w:rPr>
        <w:t>Охват детей, осваивающих в детских технопарках дополнительные общеобразовательные программы технической и естественнонаучной направленностей, составляет более 2,5 тыс. человек.</w:t>
      </w:r>
      <w:proofErr w:type="gramEnd"/>
    </w:p>
    <w:p w:rsidR="002C79D4" w:rsidRPr="00A20E22" w:rsidRDefault="002C79D4" w:rsidP="002C79D4">
      <w:pPr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>В 75 образовательных организациях 16 муниципальных образований запущена региональная модель создания детских научных клубов «Фабрика миров», координатором которой является Региональный модельный центр.</w:t>
      </w:r>
    </w:p>
    <w:p w:rsidR="002C79D4" w:rsidRPr="00A20E22" w:rsidRDefault="002C79D4" w:rsidP="002C79D4">
      <w:pPr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>С 2019 года в Югре реализуется открытая региональная программа дополнительного образования «Бизнес Цифра», направленная на развитие компетенций предпринимательской деятельности в сфере информационных технологий. Программа реализуется совместно с Открытым молодежным университетом (г. Томск).</w:t>
      </w:r>
    </w:p>
    <w:p w:rsidR="002C79D4" w:rsidRPr="00A20E22" w:rsidRDefault="002C79D4" w:rsidP="002C79D4">
      <w:pPr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 xml:space="preserve">Осуществляется апробация системы получения услуг дополнительного образования на основе персонифицированного финансирования. </w:t>
      </w:r>
    </w:p>
    <w:p w:rsidR="002C79D4" w:rsidRPr="00A20E22" w:rsidRDefault="002C79D4" w:rsidP="002C79D4">
      <w:pPr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>Методическое, информационно-консультационное и экспертное сопровождение внедрения системы осуществляется в информационной системе «Портал сопровождения внедрения системы персонифицированного финансирования дополнительного образования детей»</w:t>
      </w:r>
      <w:r w:rsidRPr="00A20E22">
        <w:rPr>
          <w:rStyle w:val="a8"/>
          <w:sz w:val="26"/>
          <w:szCs w:val="26"/>
        </w:rPr>
        <w:footnoteReference w:id="41"/>
      </w:r>
      <w:r w:rsidRPr="00A20E22">
        <w:rPr>
          <w:sz w:val="26"/>
          <w:szCs w:val="26"/>
        </w:rPr>
        <w:t>.</w:t>
      </w:r>
    </w:p>
    <w:p w:rsidR="002C79D4" w:rsidRPr="00A20E22" w:rsidRDefault="002C79D4" w:rsidP="002C79D4">
      <w:pPr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 xml:space="preserve">Реестр поставщиков и реестр программ, реализуемых в рамках системы, формируется на Портале персонифицированного финансирования дополнительного образования детей </w:t>
      </w:r>
      <w:hyperlink r:id="rId14" w:history="1">
        <w:r w:rsidRPr="00A20E22">
          <w:rPr>
            <w:sz w:val="26"/>
            <w:szCs w:val="26"/>
          </w:rPr>
          <w:t>http://хмао.пфдо.рф</w:t>
        </w:r>
      </w:hyperlink>
      <w:r w:rsidRPr="00A20E22">
        <w:rPr>
          <w:sz w:val="26"/>
          <w:szCs w:val="26"/>
        </w:rPr>
        <w:t>.</w:t>
      </w:r>
    </w:p>
    <w:p w:rsidR="002C79D4" w:rsidRPr="00A20E22" w:rsidRDefault="002C79D4" w:rsidP="002C79D4">
      <w:pPr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lastRenderedPageBreak/>
        <w:t>В систему персонифицированного финансирования дополнительного образования включилось 278 организаций, из которых 100 негосударственных сертифицировано в системе 2246 программ.</w:t>
      </w:r>
    </w:p>
    <w:p w:rsidR="002C79D4" w:rsidRPr="00A20E22" w:rsidRDefault="002C79D4" w:rsidP="00F13471">
      <w:pPr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 xml:space="preserve">Новая система обеспечивает поддержку мотивации, свободу выбора и построения образовательной инициативы детей, привлечение предпринимательского сообщества к оказанию услуг в сфере дополнительного образования детей. Югра один из регионов, где апробация и внедрение системы персонифицированного финансирования признана успешной. В период с января по июнь 2019 года сертификатами воспользовались более </w:t>
      </w:r>
      <w:r w:rsidR="00D067F9" w:rsidRPr="00A20E22">
        <w:rPr>
          <w:sz w:val="26"/>
          <w:szCs w:val="26"/>
        </w:rPr>
        <w:t>44,7</w:t>
      </w:r>
      <w:r w:rsidRPr="00A20E22">
        <w:rPr>
          <w:sz w:val="26"/>
          <w:szCs w:val="26"/>
        </w:rPr>
        <w:t xml:space="preserve"> тыс. детей.</w:t>
      </w:r>
    </w:p>
    <w:p w:rsidR="002C79D4" w:rsidRPr="00A20E22" w:rsidRDefault="002C79D4" w:rsidP="00F13471">
      <w:pPr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>В целях повышения престижа рабочих специальностей у выпускников школ, обеспечения условий для повышения качества подготовки обучающихся посредством сетевого взаимодействия профессиональных образовательных организаций, многофункциональных центров прикладных квалификаций, в автономном округе действуют 2 многофункциональных центра прикладных квалификаций, во всех организациях профессионального образования работают центры содействия трудоустройству выпускников.</w:t>
      </w:r>
    </w:p>
    <w:p w:rsidR="002C79D4" w:rsidRPr="00A20E22" w:rsidRDefault="002C79D4" w:rsidP="002C79D4">
      <w:pPr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 xml:space="preserve">Многофункциональный центр прикладных квалификаций на базе </w:t>
      </w:r>
      <w:proofErr w:type="spellStart"/>
      <w:r w:rsidRPr="00A20E22">
        <w:rPr>
          <w:sz w:val="26"/>
          <w:szCs w:val="26"/>
        </w:rPr>
        <w:t>Сургутского</w:t>
      </w:r>
      <w:proofErr w:type="spellEnd"/>
      <w:r w:rsidRPr="00A20E22">
        <w:rPr>
          <w:sz w:val="26"/>
          <w:szCs w:val="26"/>
        </w:rPr>
        <w:t xml:space="preserve"> политехнического колледжа ориентирован на подготовку кадров для машиностроения</w:t>
      </w:r>
      <w:r w:rsidR="00BC5CC2">
        <w:rPr>
          <w:sz w:val="26"/>
          <w:szCs w:val="26"/>
        </w:rPr>
        <w:t>,</w:t>
      </w:r>
      <w:r w:rsidRPr="00A20E22">
        <w:rPr>
          <w:sz w:val="26"/>
          <w:szCs w:val="26"/>
        </w:rPr>
        <w:t xml:space="preserve"> </w:t>
      </w:r>
      <w:r w:rsidRPr="00BC5CC2">
        <w:rPr>
          <w:sz w:val="26"/>
          <w:szCs w:val="26"/>
        </w:rPr>
        <w:t>энергетики</w:t>
      </w:r>
      <w:r w:rsidR="00BC5CC2" w:rsidRPr="00BC5CC2">
        <w:rPr>
          <w:sz w:val="26"/>
          <w:szCs w:val="26"/>
        </w:rPr>
        <w:t>,</w:t>
      </w:r>
      <w:r w:rsidRPr="00BC5CC2">
        <w:rPr>
          <w:sz w:val="26"/>
          <w:szCs w:val="26"/>
        </w:rPr>
        <w:t xml:space="preserve"> транспорта</w:t>
      </w:r>
      <w:r w:rsidR="00BC5CC2" w:rsidRPr="00BC5CC2">
        <w:rPr>
          <w:sz w:val="26"/>
          <w:szCs w:val="26"/>
        </w:rPr>
        <w:t>,</w:t>
      </w:r>
      <w:r w:rsidRPr="00BC5CC2">
        <w:rPr>
          <w:sz w:val="26"/>
          <w:szCs w:val="26"/>
        </w:rPr>
        <w:t xml:space="preserve"> автоматизации производства</w:t>
      </w:r>
      <w:r w:rsidR="00BC5CC2" w:rsidRPr="00BC5CC2">
        <w:rPr>
          <w:sz w:val="26"/>
          <w:szCs w:val="26"/>
        </w:rPr>
        <w:t>,</w:t>
      </w:r>
      <w:r w:rsidRPr="00BC5CC2">
        <w:rPr>
          <w:sz w:val="26"/>
          <w:szCs w:val="26"/>
        </w:rPr>
        <w:t xml:space="preserve"> строительства</w:t>
      </w:r>
      <w:r w:rsidR="00BC5CC2" w:rsidRPr="00BC5CC2">
        <w:rPr>
          <w:sz w:val="26"/>
          <w:szCs w:val="26"/>
        </w:rPr>
        <w:t>,</w:t>
      </w:r>
      <w:r w:rsidRPr="00BC5CC2">
        <w:rPr>
          <w:sz w:val="26"/>
          <w:szCs w:val="26"/>
        </w:rPr>
        <w:t xml:space="preserve"> сферы услуг. Подготовка, переподготовка и повышение квалификации рабочих и специалистов осуществляется по заказам основных работодателей – </w:t>
      </w:r>
      <w:r w:rsidR="00BC5CC2" w:rsidRPr="00BC5CC2">
        <w:rPr>
          <w:sz w:val="26"/>
          <w:szCs w:val="26"/>
        </w:rPr>
        <w:t>П</w:t>
      </w:r>
      <w:r w:rsidRPr="00BC5CC2">
        <w:rPr>
          <w:sz w:val="26"/>
          <w:szCs w:val="26"/>
        </w:rPr>
        <w:t>АО «Сургутнефтегаз» и АО «</w:t>
      </w:r>
      <w:proofErr w:type="spellStart"/>
      <w:r w:rsidRPr="00BC5CC2">
        <w:rPr>
          <w:sz w:val="26"/>
          <w:szCs w:val="26"/>
        </w:rPr>
        <w:t>Тюменьэнерго</w:t>
      </w:r>
      <w:proofErr w:type="spellEnd"/>
      <w:r w:rsidRPr="00BC5CC2">
        <w:rPr>
          <w:sz w:val="26"/>
          <w:szCs w:val="26"/>
        </w:rPr>
        <w:t>».</w:t>
      </w:r>
      <w:r w:rsidRPr="00A20E22">
        <w:rPr>
          <w:sz w:val="26"/>
          <w:szCs w:val="26"/>
        </w:rPr>
        <w:t xml:space="preserve"> Для учащихся общеобразовательных организаций Сургута, </w:t>
      </w:r>
      <w:proofErr w:type="spellStart"/>
      <w:r w:rsidRPr="00A20E22">
        <w:rPr>
          <w:sz w:val="26"/>
          <w:szCs w:val="26"/>
        </w:rPr>
        <w:t>Сургутского</w:t>
      </w:r>
      <w:proofErr w:type="spellEnd"/>
      <w:r w:rsidRPr="00A20E22">
        <w:rPr>
          <w:sz w:val="26"/>
          <w:szCs w:val="26"/>
        </w:rPr>
        <w:t xml:space="preserve"> и </w:t>
      </w:r>
      <w:proofErr w:type="spellStart"/>
      <w:r w:rsidRPr="00A20E22">
        <w:rPr>
          <w:sz w:val="26"/>
          <w:szCs w:val="26"/>
        </w:rPr>
        <w:t>Нефтеюганского</w:t>
      </w:r>
      <w:proofErr w:type="spellEnd"/>
      <w:r w:rsidRPr="00A20E22">
        <w:rPr>
          <w:sz w:val="26"/>
          <w:szCs w:val="26"/>
        </w:rPr>
        <w:t xml:space="preserve"> районов организованы экскурсии, в которых приняли участие более 2,5 тыс. школьников.</w:t>
      </w:r>
    </w:p>
    <w:p w:rsidR="002C79D4" w:rsidRPr="00A20E22" w:rsidRDefault="002C79D4" w:rsidP="002C79D4">
      <w:pPr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>На базе Когалымского политехнического колледжа многофункциональный центр прикладных квалификаций ориентирован на потребности в кадрах нефтегазовой отрасли. В Центре реализуется 68 программ профессионального обучения и 96 программ повышения квалификаций. Когалымский политехнический колле</w:t>
      </w:r>
      <w:proofErr w:type="gramStart"/>
      <w:r w:rsidRPr="00A20E22">
        <w:rPr>
          <w:sz w:val="26"/>
          <w:szCs w:val="26"/>
        </w:rPr>
        <w:t>дж вкл</w:t>
      </w:r>
      <w:proofErr w:type="gramEnd"/>
      <w:r w:rsidRPr="00A20E22">
        <w:rPr>
          <w:sz w:val="26"/>
          <w:szCs w:val="26"/>
        </w:rPr>
        <w:t>ючён в реестр сведений о проведении независимой оценки квалификации по профессии «Оператор по добыче нефти,</w:t>
      </w:r>
      <w:r w:rsidR="00852407">
        <w:rPr>
          <w:sz w:val="26"/>
          <w:szCs w:val="26"/>
        </w:rPr>
        <w:t xml:space="preserve"> газа и газового конденсата» 4, </w:t>
      </w:r>
      <w:r w:rsidRPr="00A20E22">
        <w:rPr>
          <w:sz w:val="26"/>
          <w:szCs w:val="26"/>
        </w:rPr>
        <w:t>5 уровней квалификации и с февраля 2018 года является площадкой для проведения практического этапа профессионального экзамена.</w:t>
      </w:r>
    </w:p>
    <w:p w:rsidR="002C79D4" w:rsidRPr="00A20E22" w:rsidRDefault="002C79D4" w:rsidP="002C79D4">
      <w:pPr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 xml:space="preserve">В </w:t>
      </w:r>
      <w:proofErr w:type="spellStart"/>
      <w:r w:rsidRPr="00A20E22">
        <w:rPr>
          <w:sz w:val="26"/>
          <w:szCs w:val="26"/>
        </w:rPr>
        <w:t>Сургутском</w:t>
      </w:r>
      <w:proofErr w:type="spellEnd"/>
      <w:r w:rsidRPr="00A20E22">
        <w:rPr>
          <w:sz w:val="26"/>
          <w:szCs w:val="26"/>
        </w:rPr>
        <w:t xml:space="preserve"> политехническом колледже прошел Федеральный этап конкурса профессионального мастерства «Славим человека труда!» Уральского федерального округа в номинации «Лучший автомеханик». В нём приняли участие 21 конкурсант. </w:t>
      </w:r>
    </w:p>
    <w:p w:rsidR="002C79D4" w:rsidRPr="00A20E22" w:rsidRDefault="002C79D4" w:rsidP="002C79D4">
      <w:pPr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 xml:space="preserve">С целью подготовки для участия в Чемпионатах по профессиональному мастерству </w:t>
      </w:r>
      <w:proofErr w:type="spellStart"/>
      <w:r w:rsidRPr="00A20E22">
        <w:rPr>
          <w:sz w:val="26"/>
          <w:szCs w:val="26"/>
        </w:rPr>
        <w:t>WorldSkills</w:t>
      </w:r>
      <w:proofErr w:type="spellEnd"/>
      <w:r w:rsidRPr="00A20E22">
        <w:rPr>
          <w:sz w:val="26"/>
          <w:szCs w:val="26"/>
        </w:rPr>
        <w:t xml:space="preserve">, изучения прогрессивных технологий профессионального образования Германии с 17 по 22 марта 2019 года организована стажировка в Германии. </w:t>
      </w:r>
      <w:proofErr w:type="gramStart"/>
      <w:r w:rsidRPr="00A20E22">
        <w:rPr>
          <w:sz w:val="26"/>
          <w:szCs w:val="26"/>
        </w:rPr>
        <w:t>Стажировку прошли 40 человек (студенты-победители IV Регионального чемпионата «Молодые профессионалы» (</w:t>
      </w:r>
      <w:proofErr w:type="spellStart"/>
      <w:r w:rsidRPr="00A20E22">
        <w:rPr>
          <w:sz w:val="26"/>
          <w:szCs w:val="26"/>
        </w:rPr>
        <w:t>WorldSkills</w:t>
      </w:r>
      <w:proofErr w:type="spellEnd"/>
      <w:r w:rsidRPr="00A20E22">
        <w:rPr>
          <w:sz w:val="26"/>
          <w:szCs w:val="26"/>
        </w:rPr>
        <w:t xml:space="preserve"> </w:t>
      </w:r>
      <w:proofErr w:type="spellStart"/>
      <w:r w:rsidRPr="00A20E22">
        <w:rPr>
          <w:sz w:val="26"/>
          <w:szCs w:val="26"/>
        </w:rPr>
        <w:t>Russia</w:t>
      </w:r>
      <w:proofErr w:type="spellEnd"/>
      <w:r w:rsidRPr="00A20E22">
        <w:rPr>
          <w:sz w:val="26"/>
          <w:szCs w:val="26"/>
        </w:rPr>
        <w:t>) Ханты-Мансийского автономного округа – Югры, а также их наставники, специалисты, руководители образовательных организаций, представители Департамента образования и молодежной политики автономного округа.</w:t>
      </w:r>
      <w:proofErr w:type="gramEnd"/>
    </w:p>
    <w:p w:rsidR="002C79D4" w:rsidRPr="00A20E22" w:rsidRDefault="002C79D4" w:rsidP="002C79D4">
      <w:pPr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 xml:space="preserve">В целях стимулирования и поощрения успешного обучения в профессиональных образовательных организациях, образовательных организациях высшего образования студентам выплачиваются именные стипендии Губернатора </w:t>
      </w:r>
      <w:r w:rsidRPr="00A20E22">
        <w:rPr>
          <w:sz w:val="26"/>
          <w:szCs w:val="26"/>
        </w:rPr>
        <w:lastRenderedPageBreak/>
        <w:t>автономного округа. В 2019 году получателями стипендии Губернатора стали 229 студентов образовательных организаций высшего образования и профессиональных образовательных организаций.</w:t>
      </w:r>
    </w:p>
    <w:p w:rsidR="002C79D4" w:rsidRPr="00A20E22" w:rsidRDefault="002C79D4" w:rsidP="002C79D4">
      <w:pPr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 xml:space="preserve">Стипендию Правительства РФ получают 41 студент Югры, обучающихся по приоритетным направлениям модернизации и технологического развития экономики РФ, имеющие достижения в учебе. </w:t>
      </w:r>
    </w:p>
    <w:p w:rsidR="002C79D4" w:rsidRPr="00A20E22" w:rsidRDefault="002C79D4" w:rsidP="002C79D4">
      <w:pPr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 xml:space="preserve">С целью успешной реализации научно-исследовательской деятельности в вузах автономного округа реализуются </w:t>
      </w:r>
      <w:r w:rsidR="00D067F9" w:rsidRPr="00A20E22">
        <w:rPr>
          <w:sz w:val="26"/>
          <w:szCs w:val="26"/>
        </w:rPr>
        <w:t>9</w:t>
      </w:r>
      <w:r w:rsidRPr="00A20E22">
        <w:rPr>
          <w:sz w:val="26"/>
          <w:szCs w:val="26"/>
        </w:rPr>
        <w:t xml:space="preserve"> малых инновационных предприятий, они интегрируют социальные, педагогические, исследовательские, внедренческие, аспекты инновационного процесса.</w:t>
      </w:r>
    </w:p>
    <w:p w:rsidR="002C79D4" w:rsidRPr="00A20E22" w:rsidRDefault="002C79D4" w:rsidP="002C79D4">
      <w:pPr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 xml:space="preserve">Молодежь Югры активный и результативный участник всероссийских, межрегиональных и окружных конкурсов, соревнований, фестивалей, слетов, форумов и иных мероприятий. </w:t>
      </w:r>
    </w:p>
    <w:p w:rsidR="008E38C6" w:rsidRPr="00A20E22" w:rsidRDefault="008E38C6" w:rsidP="009A3419">
      <w:pPr>
        <w:widowControl w:val="0"/>
        <w:jc w:val="center"/>
        <w:rPr>
          <w:sz w:val="26"/>
          <w:szCs w:val="26"/>
        </w:rPr>
      </w:pPr>
    </w:p>
    <w:p w:rsidR="009A3419" w:rsidRPr="00A20E22" w:rsidRDefault="009A3419" w:rsidP="001B58EA">
      <w:pPr>
        <w:pStyle w:val="2"/>
        <w:numPr>
          <w:ilvl w:val="0"/>
          <w:numId w:val="0"/>
        </w:numPr>
        <w:rPr>
          <w:rFonts w:eastAsiaTheme="majorEastAsia"/>
          <w:color w:val="auto"/>
        </w:rPr>
      </w:pPr>
      <w:bookmarkStart w:id="23" w:name="_Toc10912558"/>
      <w:r w:rsidRPr="00A20E22">
        <w:rPr>
          <w:rFonts w:eastAsiaTheme="majorEastAsia"/>
          <w:color w:val="auto"/>
        </w:rPr>
        <w:t>Здравоохранение</w:t>
      </w:r>
      <w:bookmarkEnd w:id="23"/>
    </w:p>
    <w:p w:rsidR="009A3419" w:rsidRPr="00A20E22" w:rsidRDefault="009A3419" w:rsidP="009A3419">
      <w:pPr>
        <w:widowControl w:val="0"/>
        <w:ind w:firstLine="709"/>
        <w:jc w:val="center"/>
        <w:rPr>
          <w:sz w:val="26"/>
          <w:szCs w:val="26"/>
        </w:rPr>
      </w:pPr>
    </w:p>
    <w:p w:rsidR="00411B05" w:rsidRPr="00A20E22" w:rsidRDefault="00341413" w:rsidP="00411B05">
      <w:pPr>
        <w:widowControl w:val="0"/>
        <w:ind w:firstLine="709"/>
        <w:jc w:val="both"/>
        <w:rPr>
          <w:sz w:val="26"/>
          <w:szCs w:val="26"/>
        </w:rPr>
      </w:pPr>
      <w:r w:rsidRPr="00BC5CC2">
        <w:rPr>
          <w:sz w:val="26"/>
          <w:szCs w:val="26"/>
        </w:rPr>
        <w:t xml:space="preserve">В январе-июне </w:t>
      </w:r>
      <w:r w:rsidR="00411B05" w:rsidRPr="00BC5CC2">
        <w:rPr>
          <w:sz w:val="26"/>
          <w:szCs w:val="26"/>
        </w:rPr>
        <w:t>2019 года медицинская помощь населению автономного</w:t>
      </w:r>
      <w:r w:rsidR="00411B05" w:rsidRPr="00A20E22">
        <w:rPr>
          <w:sz w:val="26"/>
          <w:szCs w:val="26"/>
        </w:rPr>
        <w:t xml:space="preserve"> округа предоставляется в 97 медицинских организациях.  </w:t>
      </w:r>
    </w:p>
    <w:p w:rsidR="00411B05" w:rsidRPr="00A20E22" w:rsidRDefault="00411B05" w:rsidP="00411B05">
      <w:pPr>
        <w:widowControl w:val="0"/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>В сфере здравоохранения автономного округа работают 49,7 тыс. человек, из них врачей – 8,4 тыс. человек, средних медицинских работников – 22,8 тыс. человек. Коэффициент совместительства составил 1,23, при этом врачи совмещают до 1,45 ставки, средние медицинские работники – 1,16 ставки.</w:t>
      </w:r>
    </w:p>
    <w:p w:rsidR="00411B05" w:rsidRPr="00A20E22" w:rsidRDefault="00411B05" w:rsidP="00411B05">
      <w:pPr>
        <w:widowControl w:val="0"/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>Всего в Югре действуют 15 Центров здоровья (11 – для взрослого населения, 4 – для детей), в которые за период январь-июнь 2019 года обратились 25,1 тыс. человек, в том числе 4,9 тыс. детей. Индивидуальные планы оздоровления назначены для 25,1 тыс. человек, направлены в медицинские организации для дополнительного обследования 2,7 тыс. человек.</w:t>
      </w:r>
    </w:p>
    <w:p w:rsidR="00411B05" w:rsidRPr="00BC5CC2" w:rsidRDefault="00411B05" w:rsidP="00411B05">
      <w:pPr>
        <w:widowControl w:val="0"/>
        <w:ind w:firstLine="740"/>
        <w:contextualSpacing/>
        <w:jc w:val="both"/>
        <w:rPr>
          <w:sz w:val="26"/>
          <w:szCs w:val="26"/>
        </w:rPr>
      </w:pPr>
      <w:r w:rsidRPr="00A20E22">
        <w:rPr>
          <w:sz w:val="26"/>
          <w:szCs w:val="26"/>
        </w:rPr>
        <w:t>В целях профилактики заболеваний, ранней диагностики хронических болезней проводится диспансеризация определённых гру</w:t>
      </w:r>
      <w:proofErr w:type="gramStart"/>
      <w:r w:rsidRPr="00A20E22">
        <w:rPr>
          <w:sz w:val="26"/>
          <w:szCs w:val="26"/>
        </w:rPr>
        <w:t>пп взр</w:t>
      </w:r>
      <w:proofErr w:type="gramEnd"/>
      <w:r w:rsidRPr="00A20E22">
        <w:rPr>
          <w:sz w:val="26"/>
          <w:szCs w:val="26"/>
        </w:rPr>
        <w:t xml:space="preserve">ослого населения. </w:t>
      </w:r>
      <w:r w:rsidRPr="00BC5CC2">
        <w:rPr>
          <w:sz w:val="26"/>
          <w:szCs w:val="26"/>
        </w:rPr>
        <w:t>Всего в автономном округе в 2019 году подлежит диспансеризации 239,7 тыс. человек (с учетом рекомендаций Минздрава России – 23</w:t>
      </w:r>
      <w:r w:rsidR="00341413" w:rsidRPr="00BC5CC2">
        <w:rPr>
          <w:sz w:val="26"/>
          <w:szCs w:val="26"/>
        </w:rPr>
        <w:t>,0</w:t>
      </w:r>
      <w:r w:rsidRPr="00BC5CC2">
        <w:rPr>
          <w:sz w:val="26"/>
          <w:szCs w:val="26"/>
        </w:rPr>
        <w:t xml:space="preserve"> % от численности взрослого населения, что составляет 235,3 тыс. человек). </w:t>
      </w:r>
    </w:p>
    <w:p w:rsidR="00411B05" w:rsidRPr="00A20E22" w:rsidRDefault="00341413" w:rsidP="00411B05">
      <w:pPr>
        <w:widowControl w:val="0"/>
        <w:ind w:firstLine="709"/>
        <w:jc w:val="both"/>
        <w:rPr>
          <w:sz w:val="26"/>
          <w:szCs w:val="26"/>
        </w:rPr>
      </w:pPr>
      <w:r w:rsidRPr="00BC5CC2">
        <w:rPr>
          <w:sz w:val="26"/>
          <w:szCs w:val="26"/>
        </w:rPr>
        <w:t>П</w:t>
      </w:r>
      <w:r w:rsidR="00411B05" w:rsidRPr="00BC5CC2">
        <w:rPr>
          <w:sz w:val="26"/>
          <w:szCs w:val="26"/>
        </w:rPr>
        <w:t>о состоянию на 1 июля 2019 года диспансеризацию прошли 140,3 тыс. чел</w:t>
      </w:r>
      <w:r w:rsidR="00BC5CC2" w:rsidRPr="00BC5CC2">
        <w:rPr>
          <w:sz w:val="26"/>
          <w:szCs w:val="26"/>
        </w:rPr>
        <w:t>овек</w:t>
      </w:r>
      <w:r w:rsidR="00411B05" w:rsidRPr="00BC5CC2">
        <w:rPr>
          <w:sz w:val="26"/>
          <w:szCs w:val="26"/>
        </w:rPr>
        <w:t>, исполнение годового плана диспансеризации составило 58,6</w:t>
      </w:r>
      <w:r w:rsidR="008E6FD8" w:rsidRPr="00BC5CC2">
        <w:rPr>
          <w:sz w:val="26"/>
          <w:szCs w:val="26"/>
        </w:rPr>
        <w:t> </w:t>
      </w:r>
      <w:r w:rsidR="00411B05" w:rsidRPr="00BC5CC2">
        <w:rPr>
          <w:sz w:val="26"/>
          <w:szCs w:val="26"/>
        </w:rPr>
        <w:t>%. В социальной структуре</w:t>
      </w:r>
      <w:r w:rsidR="00411B05" w:rsidRPr="00A20E22">
        <w:rPr>
          <w:sz w:val="26"/>
          <w:szCs w:val="26"/>
        </w:rPr>
        <w:t xml:space="preserve"> населения, прошедшего диспансеризацию, работающие </w:t>
      </w:r>
      <w:r w:rsidR="00411B05" w:rsidRPr="002D7624">
        <w:rPr>
          <w:sz w:val="26"/>
          <w:szCs w:val="26"/>
        </w:rPr>
        <w:t>граждане составили 67,7 %, неработающие – 30,7 %, обучающиеся в организациях по очной форме обучения – 1,6 %. Регулярное прохождение диспансеризации позволяет уменьшить вероятность развития опасных для жизни заболеваний (осложнений)</w:t>
      </w:r>
      <w:r w:rsidR="002D7624" w:rsidRPr="002D7624">
        <w:rPr>
          <w:rStyle w:val="a8"/>
          <w:sz w:val="26"/>
          <w:szCs w:val="26"/>
        </w:rPr>
        <w:footnoteReference w:id="42"/>
      </w:r>
      <w:r w:rsidR="00411B05" w:rsidRPr="002D7624">
        <w:rPr>
          <w:sz w:val="26"/>
          <w:szCs w:val="26"/>
        </w:rPr>
        <w:t>.</w:t>
      </w:r>
    </w:p>
    <w:p w:rsidR="00AA01DD" w:rsidRPr="00BC5CC2" w:rsidRDefault="00411B05" w:rsidP="00AA01DD">
      <w:pPr>
        <w:widowControl w:val="0"/>
        <w:ind w:firstLine="709"/>
        <w:jc w:val="both"/>
        <w:rPr>
          <w:bCs/>
          <w:sz w:val="26"/>
          <w:szCs w:val="26"/>
        </w:rPr>
      </w:pPr>
      <w:r w:rsidRPr="00BC5CC2">
        <w:rPr>
          <w:bCs/>
          <w:sz w:val="26"/>
          <w:szCs w:val="26"/>
        </w:rPr>
        <w:t>Высокотехнологичная медицинская помощь (далее – ВМП) доступна для всех нуждающихся в ней граждан автономного округа.</w:t>
      </w:r>
      <w:r w:rsidR="00341413" w:rsidRPr="00BC5CC2">
        <w:rPr>
          <w:bCs/>
          <w:sz w:val="26"/>
          <w:szCs w:val="26"/>
        </w:rPr>
        <w:t xml:space="preserve"> </w:t>
      </w:r>
      <w:r w:rsidR="00AA01DD" w:rsidRPr="00BC5CC2">
        <w:rPr>
          <w:bCs/>
          <w:sz w:val="26"/>
          <w:szCs w:val="26"/>
        </w:rPr>
        <w:t xml:space="preserve">ВМП населению оказывается 17 медицинскими организациями (региональными высокотехнологичными центрами) автономного округа и 1 медицинской организацией негосударственной формы собственности. За январь-июнь 2019 года ВМП  получили </w:t>
      </w:r>
      <w:r w:rsidR="00AA01DD" w:rsidRPr="00BC5CC2">
        <w:rPr>
          <w:rFonts w:eastAsia="Calibri"/>
          <w:sz w:val="24"/>
          <w:szCs w:val="24"/>
          <w:lang w:eastAsia="en-US"/>
        </w:rPr>
        <w:t>9,2</w:t>
      </w:r>
      <w:r w:rsidR="00AA01DD" w:rsidRPr="00BC5CC2">
        <w:rPr>
          <w:bCs/>
          <w:sz w:val="26"/>
          <w:szCs w:val="26"/>
        </w:rPr>
        <w:t xml:space="preserve"> тыс. человек, из них в медицинских организациях автономного округа – 8,0 тыс. пациентов (январь-июнь 2018 года – 5,9 тыс. пациентов). </w:t>
      </w:r>
    </w:p>
    <w:p w:rsidR="00993778" w:rsidRPr="00BC5CC2" w:rsidRDefault="00993778" w:rsidP="00993778">
      <w:pPr>
        <w:widowControl w:val="0"/>
        <w:ind w:firstLine="709"/>
        <w:jc w:val="both"/>
        <w:rPr>
          <w:sz w:val="26"/>
          <w:szCs w:val="26"/>
        </w:rPr>
      </w:pPr>
      <w:r w:rsidRPr="00BC5CC2">
        <w:rPr>
          <w:sz w:val="26"/>
          <w:szCs w:val="26"/>
        </w:rPr>
        <w:t xml:space="preserve">Показатель удовлетворенности (обеспеченности) населения Югры </w:t>
      </w:r>
      <w:r w:rsidRPr="00BC5CC2">
        <w:rPr>
          <w:sz w:val="26"/>
          <w:szCs w:val="26"/>
        </w:rPr>
        <w:lastRenderedPageBreak/>
        <w:t>в высокотехнологичной медицинской помощи (отношение числа заявлений или направлений на ВМП к числу получивших соответствующую медицинскую помощь) составил 95,0 %.</w:t>
      </w:r>
    </w:p>
    <w:p w:rsidR="00411B05" w:rsidRPr="00BC5CC2" w:rsidRDefault="00411B05" w:rsidP="00993778">
      <w:pPr>
        <w:widowControl w:val="0"/>
        <w:ind w:firstLine="709"/>
        <w:jc w:val="both"/>
        <w:rPr>
          <w:sz w:val="26"/>
          <w:szCs w:val="26"/>
        </w:rPr>
      </w:pPr>
      <w:r w:rsidRPr="00BC5CC2">
        <w:rPr>
          <w:sz w:val="26"/>
          <w:szCs w:val="26"/>
        </w:rPr>
        <w:t xml:space="preserve">Функционирует региональная информационная система телемедицины, </w:t>
      </w:r>
      <w:r w:rsidRPr="00BC5CC2">
        <w:rPr>
          <w:bCs/>
          <w:sz w:val="26"/>
          <w:szCs w:val="26"/>
        </w:rPr>
        <w:t xml:space="preserve">проведено более 3,7 тыс. телемедицинских консультаций. </w:t>
      </w:r>
    </w:p>
    <w:p w:rsidR="00411B05" w:rsidRPr="00BC5CC2" w:rsidRDefault="00411B05" w:rsidP="00411B05">
      <w:pPr>
        <w:widowControl w:val="0"/>
        <w:ind w:firstLine="709"/>
        <w:jc w:val="both"/>
        <w:rPr>
          <w:sz w:val="26"/>
          <w:szCs w:val="26"/>
        </w:rPr>
      </w:pPr>
      <w:r w:rsidRPr="00BC5CC2">
        <w:rPr>
          <w:sz w:val="26"/>
          <w:szCs w:val="26"/>
        </w:rPr>
        <w:t xml:space="preserve">Работает официальный интернет-сайт системы здравоохранения автономного округа www.dzhmao.ru. В </w:t>
      </w:r>
      <w:r w:rsidR="00BC5CC2" w:rsidRPr="00BC5CC2">
        <w:rPr>
          <w:sz w:val="26"/>
          <w:szCs w:val="26"/>
        </w:rPr>
        <w:t>январе-июне</w:t>
      </w:r>
      <w:r w:rsidRPr="00BC5CC2">
        <w:rPr>
          <w:sz w:val="26"/>
          <w:szCs w:val="26"/>
        </w:rPr>
        <w:t xml:space="preserve"> 2019 года зафиксировано более 687,0 тыс. посещений (</w:t>
      </w:r>
      <w:proofErr w:type="gramStart"/>
      <w:r w:rsidRPr="00BC5CC2">
        <w:rPr>
          <w:sz w:val="26"/>
          <w:szCs w:val="26"/>
        </w:rPr>
        <w:t>январе-июн</w:t>
      </w:r>
      <w:r w:rsidR="00BC5CC2" w:rsidRPr="00BC5CC2">
        <w:rPr>
          <w:sz w:val="26"/>
          <w:szCs w:val="26"/>
        </w:rPr>
        <w:t>ь</w:t>
      </w:r>
      <w:proofErr w:type="gramEnd"/>
      <w:r w:rsidRPr="00BC5CC2">
        <w:rPr>
          <w:sz w:val="26"/>
          <w:szCs w:val="26"/>
        </w:rPr>
        <w:t xml:space="preserve"> 2018 </w:t>
      </w:r>
      <w:r w:rsidR="00BC5CC2" w:rsidRPr="00BC5CC2">
        <w:rPr>
          <w:sz w:val="26"/>
          <w:szCs w:val="26"/>
        </w:rPr>
        <w:t>года</w:t>
      </w:r>
      <w:r w:rsidRPr="00BC5CC2">
        <w:rPr>
          <w:sz w:val="26"/>
          <w:szCs w:val="26"/>
        </w:rPr>
        <w:t xml:space="preserve"> – 861,1 тыс. посещений), в новостном разделе опубликовано 607 новостей и информационных материалов.</w:t>
      </w:r>
    </w:p>
    <w:p w:rsidR="00411B05" w:rsidRPr="00BC5CC2" w:rsidRDefault="00411B05" w:rsidP="00411B05">
      <w:pPr>
        <w:widowControl w:val="0"/>
        <w:ind w:firstLine="709"/>
        <w:jc w:val="both"/>
        <w:rPr>
          <w:bCs/>
          <w:sz w:val="26"/>
          <w:szCs w:val="26"/>
        </w:rPr>
      </w:pPr>
      <w:proofErr w:type="gramStart"/>
      <w:r w:rsidRPr="00BC5CC2">
        <w:rPr>
          <w:sz w:val="26"/>
          <w:szCs w:val="26"/>
        </w:rPr>
        <w:t xml:space="preserve">Услугами </w:t>
      </w:r>
      <w:r w:rsidR="00BC5CC2" w:rsidRPr="00BC5CC2">
        <w:rPr>
          <w:sz w:val="26"/>
          <w:szCs w:val="26"/>
        </w:rPr>
        <w:t>Контакт-</w:t>
      </w:r>
      <w:r w:rsidRPr="00BC5CC2">
        <w:rPr>
          <w:sz w:val="26"/>
          <w:szCs w:val="26"/>
        </w:rPr>
        <w:t>центра (телефон</w:t>
      </w:r>
      <w:r w:rsidRPr="00BC5CC2">
        <w:rPr>
          <w:bCs/>
          <w:sz w:val="26"/>
          <w:szCs w:val="26"/>
        </w:rPr>
        <w:t xml:space="preserve"> круглосуточной горячей линии для приема обращений граждан по вопросам оказания медицинской помощи, консультирования граждан по вопросам здравоохранения, в том числе о доступности и качеств</w:t>
      </w:r>
      <w:r w:rsidRPr="00A20E22">
        <w:rPr>
          <w:bCs/>
          <w:sz w:val="26"/>
          <w:szCs w:val="26"/>
        </w:rPr>
        <w:t xml:space="preserve">е оказания бесплатной медицинской помощи на территории Югры) в январе-июне 2019 года воспользовалось более 10,1 тыс. граждан автономного округа  по вопросам оказания доступности и качества медицинской помощи, </w:t>
      </w:r>
      <w:r w:rsidRPr="00BC5CC2">
        <w:rPr>
          <w:bCs/>
          <w:sz w:val="26"/>
          <w:szCs w:val="26"/>
        </w:rPr>
        <w:t>лекарственного обеспечения, 39,4 тыс. обращений поступило по</w:t>
      </w:r>
      <w:proofErr w:type="gramEnd"/>
      <w:r w:rsidRPr="00BC5CC2">
        <w:rPr>
          <w:bCs/>
          <w:sz w:val="26"/>
          <w:szCs w:val="26"/>
        </w:rPr>
        <w:t xml:space="preserve"> вопросам записи на прием к врачу.</w:t>
      </w:r>
    </w:p>
    <w:p w:rsidR="00411B05" w:rsidRPr="00BC5CC2" w:rsidRDefault="0006161B" w:rsidP="00450101">
      <w:pPr>
        <w:widowControl w:val="0"/>
        <w:ind w:firstLine="709"/>
        <w:jc w:val="both"/>
        <w:rPr>
          <w:bCs/>
          <w:sz w:val="26"/>
          <w:szCs w:val="26"/>
        </w:rPr>
      </w:pPr>
      <w:r w:rsidRPr="00BC5CC2">
        <w:rPr>
          <w:bCs/>
          <w:sz w:val="26"/>
          <w:szCs w:val="26"/>
        </w:rPr>
        <w:t>В</w:t>
      </w:r>
      <w:r w:rsidR="00411B05" w:rsidRPr="00BC5CC2">
        <w:rPr>
          <w:bCs/>
          <w:sz w:val="26"/>
          <w:szCs w:val="26"/>
        </w:rPr>
        <w:t xml:space="preserve"> 88 медицинских организациях автономного округа</w:t>
      </w:r>
      <w:r w:rsidRPr="00BC5CC2">
        <w:rPr>
          <w:bCs/>
          <w:sz w:val="26"/>
          <w:szCs w:val="26"/>
        </w:rPr>
        <w:t xml:space="preserve"> работает система поддержки принятия врачебных решений</w:t>
      </w:r>
      <w:r w:rsidR="00411B05" w:rsidRPr="00BC5CC2">
        <w:rPr>
          <w:bCs/>
          <w:sz w:val="26"/>
          <w:szCs w:val="26"/>
        </w:rPr>
        <w:t xml:space="preserve">, </w:t>
      </w:r>
      <w:r w:rsidRPr="00BC5CC2">
        <w:rPr>
          <w:rFonts w:eastAsia="Calibri"/>
          <w:sz w:val="26"/>
          <w:szCs w:val="26"/>
        </w:rPr>
        <w:t>обеспечивая доступ к регулярно обновляемому справочно-рекомендательному ресурсу для врачей первичного звена на основе международных баз данных по доказательной медицине и клинических рекомендаций Министерства здравоохранения РФ.</w:t>
      </w:r>
      <w:r w:rsidR="00DD3123" w:rsidRPr="00BC5CC2">
        <w:rPr>
          <w:rFonts w:eastAsia="Calibri"/>
          <w:sz w:val="26"/>
          <w:szCs w:val="26"/>
        </w:rPr>
        <w:t xml:space="preserve"> </w:t>
      </w:r>
      <w:r w:rsidRPr="00BC5CC2">
        <w:rPr>
          <w:rFonts w:eastAsia="Calibri"/>
          <w:sz w:val="26"/>
          <w:szCs w:val="26"/>
        </w:rPr>
        <w:t>О</w:t>
      </w:r>
      <w:r w:rsidR="00411B05" w:rsidRPr="00BC5CC2">
        <w:rPr>
          <w:bCs/>
          <w:sz w:val="26"/>
          <w:szCs w:val="26"/>
        </w:rPr>
        <w:t>коло 3,1 тыс. пользователей на своем рабочем месте имеют доступ к рекомендациям по диагностике и лечению различных заболеваний.</w:t>
      </w:r>
    </w:p>
    <w:p w:rsidR="00411B05" w:rsidRPr="00A20E22" w:rsidRDefault="00450101" w:rsidP="00450101">
      <w:pPr>
        <w:widowControl w:val="0"/>
        <w:ind w:firstLine="709"/>
        <w:jc w:val="both"/>
        <w:rPr>
          <w:sz w:val="26"/>
          <w:szCs w:val="26"/>
        </w:rPr>
      </w:pPr>
      <w:r w:rsidRPr="00BC5CC2">
        <w:rPr>
          <w:bCs/>
          <w:sz w:val="26"/>
          <w:szCs w:val="26"/>
        </w:rPr>
        <w:t xml:space="preserve">Разработан ряд корректирующих мероприятий по укреплению системы льготного лекарственного обеспечения, которое направлено на открытие собственных аптечных пунктов, </w:t>
      </w:r>
      <w:proofErr w:type="spellStart"/>
      <w:r w:rsidRPr="00BC5CC2">
        <w:rPr>
          <w:bCs/>
          <w:sz w:val="26"/>
          <w:szCs w:val="26"/>
        </w:rPr>
        <w:t>пролицензированных</w:t>
      </w:r>
      <w:proofErr w:type="spellEnd"/>
      <w:r w:rsidRPr="00BC5CC2">
        <w:rPr>
          <w:bCs/>
          <w:sz w:val="26"/>
          <w:szCs w:val="26"/>
        </w:rPr>
        <w:t xml:space="preserve"> самими медицинскими организациями, подведомственными Департаменту здравоохранения</w:t>
      </w:r>
      <w:r w:rsidR="0006161B" w:rsidRPr="00BC5CC2">
        <w:rPr>
          <w:bCs/>
          <w:sz w:val="26"/>
          <w:szCs w:val="26"/>
        </w:rPr>
        <w:t xml:space="preserve"> автономного округа</w:t>
      </w:r>
      <w:r w:rsidRPr="00BC5CC2">
        <w:rPr>
          <w:bCs/>
          <w:sz w:val="26"/>
          <w:szCs w:val="26"/>
        </w:rPr>
        <w:t>. В план на получение соответствующих лицензий включены 53 медицинские организации, лицензии получены 50, из которых в настоящее время обслуживание граждан осуществляют 9.</w:t>
      </w:r>
    </w:p>
    <w:p w:rsidR="00411B05" w:rsidRPr="00A20E22" w:rsidRDefault="00411B05" w:rsidP="00411B05">
      <w:pPr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 xml:space="preserve">В целях снижения смертности от новообразований в Югре реализуются </w:t>
      </w:r>
      <w:proofErr w:type="spellStart"/>
      <w:r w:rsidRPr="00A20E22">
        <w:rPr>
          <w:sz w:val="26"/>
          <w:szCs w:val="26"/>
        </w:rPr>
        <w:t>скрининговые</w:t>
      </w:r>
      <w:proofErr w:type="spellEnd"/>
      <w:r w:rsidRPr="00A20E22">
        <w:rPr>
          <w:sz w:val="26"/>
          <w:szCs w:val="26"/>
        </w:rPr>
        <w:t xml:space="preserve"> программы ранней диагностики рака (</w:t>
      </w:r>
      <w:proofErr w:type="spellStart"/>
      <w:r w:rsidRPr="00A20E22">
        <w:rPr>
          <w:sz w:val="26"/>
          <w:szCs w:val="26"/>
        </w:rPr>
        <w:t>маммологический</w:t>
      </w:r>
      <w:proofErr w:type="spellEnd"/>
      <w:r w:rsidRPr="00A20E22">
        <w:rPr>
          <w:sz w:val="26"/>
          <w:szCs w:val="26"/>
        </w:rPr>
        <w:t xml:space="preserve"> скрининг женщин старше 40 лет, обследование мужского населения старше 45 лет на </w:t>
      </w:r>
      <w:proofErr w:type="spellStart"/>
      <w:r w:rsidRPr="00A20E22">
        <w:rPr>
          <w:sz w:val="26"/>
          <w:szCs w:val="26"/>
        </w:rPr>
        <w:t>простатспецифический</w:t>
      </w:r>
      <w:proofErr w:type="spellEnd"/>
      <w:r w:rsidRPr="00A20E22">
        <w:rPr>
          <w:sz w:val="26"/>
          <w:szCs w:val="26"/>
        </w:rPr>
        <w:t xml:space="preserve"> антиген).</w:t>
      </w:r>
    </w:p>
    <w:p w:rsidR="00A44D30" w:rsidRDefault="00411B05" w:rsidP="00A44D30">
      <w:pPr>
        <w:ind w:firstLine="709"/>
        <w:contextualSpacing/>
        <w:jc w:val="both"/>
        <w:rPr>
          <w:sz w:val="26"/>
          <w:szCs w:val="26"/>
        </w:rPr>
      </w:pPr>
      <w:r w:rsidRPr="00A20E22">
        <w:rPr>
          <w:sz w:val="26"/>
          <w:szCs w:val="26"/>
        </w:rPr>
        <w:t xml:space="preserve">В Югре создана трехэтапная система оказания медицинской помощи матерям и новорождённым, </w:t>
      </w:r>
      <w:r w:rsidR="0006161B">
        <w:rPr>
          <w:sz w:val="26"/>
          <w:szCs w:val="26"/>
        </w:rPr>
        <w:t xml:space="preserve">организована </w:t>
      </w:r>
      <w:r w:rsidRPr="00A20E22">
        <w:rPr>
          <w:sz w:val="26"/>
          <w:szCs w:val="26"/>
        </w:rPr>
        <w:t>регионализация перинатальной помощи (окружные перинатальные центры в городах Ханты-Мансийск</w:t>
      </w:r>
      <w:r w:rsidRPr="0006161B">
        <w:rPr>
          <w:sz w:val="26"/>
          <w:szCs w:val="26"/>
        </w:rPr>
        <w:t>е</w:t>
      </w:r>
      <w:r w:rsidRPr="00A20E22">
        <w:rPr>
          <w:sz w:val="26"/>
          <w:szCs w:val="26"/>
        </w:rPr>
        <w:t xml:space="preserve">, Сургуте и Нижневартовске). В автономном округе осуществляют деятельность 2 выездные анестезиолого-реанимационные неонатальные бригады на базах </w:t>
      </w:r>
      <w:proofErr w:type="spellStart"/>
      <w:r w:rsidRPr="00A20E22">
        <w:rPr>
          <w:sz w:val="26"/>
          <w:szCs w:val="26"/>
        </w:rPr>
        <w:t>Нижневартовской</w:t>
      </w:r>
      <w:proofErr w:type="spellEnd"/>
      <w:r w:rsidRPr="00A20E22">
        <w:rPr>
          <w:sz w:val="26"/>
          <w:szCs w:val="26"/>
        </w:rPr>
        <w:t xml:space="preserve"> окружной детской клинической больницы, </w:t>
      </w:r>
      <w:proofErr w:type="spellStart"/>
      <w:r w:rsidRPr="00A20E22">
        <w:rPr>
          <w:sz w:val="26"/>
          <w:szCs w:val="26"/>
        </w:rPr>
        <w:t>Сургутского</w:t>
      </w:r>
      <w:proofErr w:type="spellEnd"/>
      <w:r w:rsidRPr="00A20E22">
        <w:rPr>
          <w:sz w:val="26"/>
          <w:szCs w:val="26"/>
        </w:rPr>
        <w:t xml:space="preserve"> клинического перинатального центра и </w:t>
      </w:r>
      <w:r w:rsidRPr="00BC5CC2">
        <w:rPr>
          <w:sz w:val="26"/>
          <w:szCs w:val="26"/>
        </w:rPr>
        <w:t xml:space="preserve">выездной акушерской анестезиолого-реанимационной бригады на базе Центра медицины катастроф, оснащенные </w:t>
      </w:r>
      <w:proofErr w:type="spellStart"/>
      <w:r w:rsidRPr="00BC5CC2">
        <w:rPr>
          <w:sz w:val="26"/>
          <w:szCs w:val="26"/>
        </w:rPr>
        <w:t>реанимобилем</w:t>
      </w:r>
      <w:proofErr w:type="spellEnd"/>
      <w:r w:rsidRPr="00BC5CC2">
        <w:rPr>
          <w:sz w:val="26"/>
          <w:szCs w:val="26"/>
        </w:rPr>
        <w:t>, укомплектованные врачами неонатологами, анестезиологами-реаниматологами и другими профильными специалистами,  которые оказывают круглосуточную консультативную помощь медицинским организациям автономного округа. Организована деятельность акушерских дистанционно</w:t>
      </w:r>
      <w:r w:rsidR="00BC5CC2" w:rsidRPr="00BC5CC2">
        <w:rPr>
          <w:sz w:val="26"/>
          <w:szCs w:val="26"/>
        </w:rPr>
        <w:t>-</w:t>
      </w:r>
      <w:r w:rsidRPr="00BC5CC2">
        <w:rPr>
          <w:sz w:val="26"/>
          <w:szCs w:val="26"/>
        </w:rPr>
        <w:t xml:space="preserve">консультативных центров на базе перинатальных центров, оказывающих консультации профильными </w:t>
      </w:r>
      <w:r w:rsidRPr="00BC5CC2">
        <w:rPr>
          <w:sz w:val="26"/>
          <w:szCs w:val="26"/>
        </w:rPr>
        <w:lastRenderedPageBreak/>
        <w:t>специалистами, в том числе при скорой специализированной медицинской помощи.</w:t>
      </w:r>
    </w:p>
    <w:p w:rsidR="00E15010" w:rsidRPr="00A20E22" w:rsidRDefault="00E15010" w:rsidP="009A3419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9A3419" w:rsidRPr="00A20E22" w:rsidRDefault="009A3419" w:rsidP="001B58EA">
      <w:pPr>
        <w:pStyle w:val="2"/>
        <w:numPr>
          <w:ilvl w:val="0"/>
          <w:numId w:val="0"/>
        </w:numPr>
        <w:rPr>
          <w:rFonts w:eastAsiaTheme="majorEastAsia"/>
          <w:color w:val="auto"/>
        </w:rPr>
      </w:pPr>
      <w:bookmarkStart w:id="24" w:name="_Toc10912559"/>
      <w:r w:rsidRPr="00A20E22">
        <w:rPr>
          <w:rFonts w:eastAsiaTheme="majorEastAsia"/>
          <w:color w:val="auto"/>
        </w:rPr>
        <w:t>Культура</w:t>
      </w:r>
      <w:bookmarkEnd w:id="24"/>
    </w:p>
    <w:p w:rsidR="009A3419" w:rsidRPr="00A20E22" w:rsidRDefault="009A3419" w:rsidP="009A3419">
      <w:pPr>
        <w:ind w:firstLine="709"/>
        <w:jc w:val="both"/>
        <w:rPr>
          <w:sz w:val="26"/>
          <w:szCs w:val="26"/>
        </w:rPr>
      </w:pPr>
    </w:p>
    <w:p w:rsidR="002C58FA" w:rsidRPr="00A20E22" w:rsidRDefault="002C58FA" w:rsidP="002C58FA">
      <w:pPr>
        <w:ind w:firstLine="709"/>
        <w:jc w:val="both"/>
        <w:rPr>
          <w:sz w:val="26"/>
          <w:szCs w:val="26"/>
        </w:rPr>
      </w:pPr>
      <w:proofErr w:type="gramStart"/>
      <w:r w:rsidRPr="00A20E22">
        <w:rPr>
          <w:sz w:val="26"/>
          <w:szCs w:val="26"/>
        </w:rPr>
        <w:t>В январе-июне 2019 года с учетом проведенных мероприятий по оптимизации сети учреждений, направленных на повышение эффективности использования кадровых и материально-технических ресурсов, в сети организаций культуры действовали: 222 общедоступные (публичные) библиотеки, 104 организации культурно-досугового типа, 35 музеев, 8 театров, 3 концертные организации (в т. ч. самостоятельный коллектив), 2 парка культуры, 1 учреждение кинопоказа и кинопроката (157 стационарных киноустановок), а также 5</w:t>
      </w:r>
      <w:proofErr w:type="gramEnd"/>
      <w:r w:rsidRPr="00A20E22">
        <w:rPr>
          <w:sz w:val="26"/>
          <w:szCs w:val="26"/>
        </w:rPr>
        <w:t xml:space="preserve"> прочих учреждений (организационно-методические центры и др.).</w:t>
      </w:r>
    </w:p>
    <w:p w:rsidR="002C58FA" w:rsidRPr="00A20E22" w:rsidRDefault="002C58FA" w:rsidP="002C58FA">
      <w:pPr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>Образовательную деятельность в сфере культуры осуществляют 3 учреждения среднего профессионального образования и 49 учреждения дополнительного образования детей, из них 7 музыкальных школ (2 из которых находятся в сельской местности), 3 художественные школы, 1 хореографическая школа и 38 детских школ искусств (9 из которых находятся в сельской местности). Количество детей, обучающихся в детских музыкальных, художественных, хореографических школах и школах искусств – 23,3 тыс. человек, в профессиональных образовательных организациях – 1,2 тыс. человек. Процент охвата детей дополнительным образованием в сфере культуры и искусства округа составляет 7,9 %.</w:t>
      </w:r>
    </w:p>
    <w:p w:rsidR="002C58FA" w:rsidRPr="00A20E22" w:rsidRDefault="002C58FA" w:rsidP="002C58FA">
      <w:pPr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>В отчетном периоде введено в эксплуатацию 2 объекта культуры:</w:t>
      </w:r>
    </w:p>
    <w:p w:rsidR="002C58FA" w:rsidRPr="00A20E22" w:rsidRDefault="002C58FA" w:rsidP="002C58FA">
      <w:pPr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 xml:space="preserve">«Сельский дом культуры с библиотекой» в с. </w:t>
      </w:r>
      <w:proofErr w:type="spellStart"/>
      <w:r w:rsidRPr="00A20E22">
        <w:rPr>
          <w:sz w:val="26"/>
          <w:szCs w:val="26"/>
        </w:rPr>
        <w:t>Реполово</w:t>
      </w:r>
      <w:proofErr w:type="spellEnd"/>
      <w:r w:rsidRPr="00A20E22">
        <w:rPr>
          <w:sz w:val="26"/>
          <w:szCs w:val="26"/>
        </w:rPr>
        <w:t xml:space="preserve"> Ханты-Мансийского района мощностью на 60 мест и книжным фондом на 6741 экземпляр. Финансирование объекта осуществлялось за счет средств ПАО «Газпром нефть» и составило 45,1 млн. рублей.</w:t>
      </w:r>
    </w:p>
    <w:p w:rsidR="002C58FA" w:rsidRPr="00A20E22" w:rsidRDefault="002C58FA" w:rsidP="002C58FA">
      <w:pPr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>Реконструкция объекта «</w:t>
      </w:r>
      <w:proofErr w:type="gramStart"/>
      <w:r w:rsidRPr="00A20E22">
        <w:rPr>
          <w:sz w:val="26"/>
          <w:szCs w:val="26"/>
        </w:rPr>
        <w:t>Кино-концертный</w:t>
      </w:r>
      <w:proofErr w:type="gramEnd"/>
      <w:r w:rsidRPr="00A20E22">
        <w:rPr>
          <w:sz w:val="26"/>
          <w:szCs w:val="26"/>
        </w:rPr>
        <w:t xml:space="preserve"> комплекс «Янтарь» в г. Когалым под филиал Федерального государственного бюджетного учреждения культуры «Государственный академический Малый театр России». Общая площадь объекта 5150,5 кв. м, количество мест единовременного посещения – 300</w:t>
      </w:r>
      <w:r w:rsidRPr="00A20E22">
        <w:t xml:space="preserve">, </w:t>
      </w:r>
      <w:r w:rsidRPr="00A20E22">
        <w:rPr>
          <w:sz w:val="26"/>
          <w:szCs w:val="26"/>
        </w:rPr>
        <w:t>количество сцен – 1 единица. Финансирование объекта осуществлялось за счет средств ПАО «ЛУКОЙЛ» и муниципального образования г.</w:t>
      </w:r>
      <w:r w:rsidR="006807FA" w:rsidRPr="00A20E22">
        <w:rPr>
          <w:sz w:val="26"/>
          <w:szCs w:val="26"/>
        </w:rPr>
        <w:t xml:space="preserve"> </w:t>
      </w:r>
      <w:r w:rsidRPr="00A20E22">
        <w:rPr>
          <w:sz w:val="26"/>
          <w:szCs w:val="26"/>
        </w:rPr>
        <w:t>Когалым и составило 1 469,1 млн. рублей.</w:t>
      </w:r>
    </w:p>
    <w:p w:rsidR="002C58FA" w:rsidRPr="00A20E22" w:rsidRDefault="002C58FA" w:rsidP="002C58FA">
      <w:pPr>
        <w:ind w:firstLine="709"/>
        <w:jc w:val="both"/>
        <w:rPr>
          <w:sz w:val="26"/>
          <w:szCs w:val="26"/>
        </w:rPr>
      </w:pPr>
      <w:proofErr w:type="gramStart"/>
      <w:r w:rsidRPr="00A20E22">
        <w:rPr>
          <w:sz w:val="26"/>
          <w:szCs w:val="26"/>
        </w:rPr>
        <w:t>В результате проведения работ по выявлению и изучению объектов археологического наследия, а также внесения выявленных объектов культурного наследия в «Единый государственный реестр объектов культурного наследия (памятников истории и культуры) народов Российской Федерации» на государственном учете находится 986 объектов культурного наследия федерального значения, 140 объектов регионального значения, 19 объектов местного значения и 4755 выявленных объектов культурного наследия.</w:t>
      </w:r>
      <w:proofErr w:type="gramEnd"/>
      <w:r w:rsidRPr="00A20E22">
        <w:rPr>
          <w:sz w:val="26"/>
          <w:szCs w:val="26"/>
        </w:rPr>
        <w:t xml:space="preserve"> В состав объектов культурного наследия входят 1073 памятника, 17 ансамблей и 55 достопримечательных мест.</w:t>
      </w:r>
    </w:p>
    <w:p w:rsidR="002C58FA" w:rsidRPr="00A20E22" w:rsidRDefault="002C58FA" w:rsidP="002C58FA">
      <w:pPr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 xml:space="preserve">С целью развития творческой активности талантливых детей и молодежи, нравственного и эстетического воспитания, совершенствования системы поиска, поддержки и сопровождения одаренных детей и молодежи проводятся окружные конкурсы, фестивали, концерты, выставки, творческие состязания, мастер-классы. </w:t>
      </w:r>
      <w:r w:rsidRPr="00A20E22">
        <w:rPr>
          <w:sz w:val="26"/>
          <w:szCs w:val="26"/>
        </w:rPr>
        <w:lastRenderedPageBreak/>
        <w:t>К участию в творческих мероприятиях привлечено 32,2 тыс. детей, из них 4,1 тыс. детей участвовали во всероссийских и международных конкурсах, в результате завоевано 3340 грантов, наград и дипломов. Доля талантливых детей, привлекаемых к участию в творческих мероприятиях, составила 7,6 % от общего числа детей.</w:t>
      </w:r>
    </w:p>
    <w:p w:rsidR="002C58FA" w:rsidRPr="00BC5CC2" w:rsidRDefault="002C58FA" w:rsidP="002C58FA">
      <w:pPr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 xml:space="preserve">Свыше 95,0 % государственных учреждений культуры доступны для граждан с ограниченными возможностями здоровья, обеспечена возможность ознакомления с учетом особенностей каждой категории инвалидов с музейными и библиотечными коллекциями и собраниями. На базе Югорского кинопроката функционирует кинозал, оснащенный высокотехнологичным оборудованием для инвалидов и маломобильных групп населения. Библиотеки Югры оснащены специализированным оборудованием (более 150 единиц), фонды насчитывают более 30 тыс. документов в </w:t>
      </w:r>
      <w:r w:rsidRPr="00BC5CC2">
        <w:rPr>
          <w:sz w:val="26"/>
          <w:szCs w:val="26"/>
        </w:rPr>
        <w:t>специальных форматах.</w:t>
      </w:r>
    </w:p>
    <w:p w:rsidR="002C58FA" w:rsidRPr="00BC5CC2" w:rsidRDefault="002C58FA" w:rsidP="002C58FA">
      <w:pPr>
        <w:ind w:firstLine="709"/>
        <w:jc w:val="both"/>
        <w:rPr>
          <w:sz w:val="26"/>
          <w:szCs w:val="26"/>
        </w:rPr>
      </w:pPr>
      <w:r w:rsidRPr="00BC5CC2">
        <w:rPr>
          <w:sz w:val="26"/>
          <w:szCs w:val="26"/>
        </w:rPr>
        <w:t>На 1 июля 2019 года доля библиотечных фондов общедоступных библиотек, отраженных в электронных каталогах, составила 100 % (</w:t>
      </w:r>
      <w:r w:rsidR="00F278B6" w:rsidRPr="00BC5CC2">
        <w:rPr>
          <w:sz w:val="26"/>
          <w:szCs w:val="26"/>
        </w:rPr>
        <w:t xml:space="preserve">на 1 июля 2018 года </w:t>
      </w:r>
      <w:r w:rsidRPr="00BC5CC2">
        <w:rPr>
          <w:sz w:val="26"/>
          <w:szCs w:val="26"/>
        </w:rPr>
        <w:t>– 99,4 %).</w:t>
      </w:r>
    </w:p>
    <w:p w:rsidR="00551D68" w:rsidRDefault="002C58FA" w:rsidP="002C58FA">
      <w:pPr>
        <w:ind w:firstLine="709"/>
        <w:jc w:val="both"/>
        <w:rPr>
          <w:sz w:val="26"/>
          <w:szCs w:val="26"/>
        </w:rPr>
      </w:pPr>
      <w:r w:rsidRPr="00BC5CC2">
        <w:rPr>
          <w:rFonts w:eastAsia="Calibri"/>
          <w:sz w:val="26"/>
          <w:szCs w:val="26"/>
        </w:rPr>
        <w:t xml:space="preserve">Реализуется проект «Президентская библиотека». </w:t>
      </w:r>
      <w:proofErr w:type="gramStart"/>
      <w:r w:rsidRPr="00BC5CC2">
        <w:rPr>
          <w:sz w:val="26"/>
          <w:szCs w:val="26"/>
        </w:rPr>
        <w:t>О</w:t>
      </w:r>
      <w:r w:rsidRPr="00BC5CC2">
        <w:rPr>
          <w:rFonts w:eastAsia="Calibri"/>
          <w:sz w:val="26"/>
          <w:szCs w:val="26"/>
        </w:rPr>
        <w:t>ткрыты 53 удаленных читальных зала с доступом к информационным ресурсам</w:t>
      </w:r>
      <w:r w:rsidRPr="00A20E22">
        <w:rPr>
          <w:rFonts w:eastAsia="Calibri"/>
          <w:sz w:val="26"/>
          <w:szCs w:val="26"/>
        </w:rPr>
        <w:t xml:space="preserve"> Президентской библиотеки имени Б.Н. Ельцина в 22</w:t>
      </w:r>
      <w:r w:rsidRPr="00A20E22">
        <w:rPr>
          <w:sz w:val="26"/>
          <w:szCs w:val="26"/>
        </w:rPr>
        <w:t xml:space="preserve"> муниципальных образованиях. </w:t>
      </w:r>
      <w:proofErr w:type="gramEnd"/>
    </w:p>
    <w:p w:rsidR="002C58FA" w:rsidRPr="00A20E22" w:rsidRDefault="002C58FA" w:rsidP="002C58FA">
      <w:pPr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 xml:space="preserve">Государственными музеями автономного округа на площадках муниципальных музеев для посетителей </w:t>
      </w:r>
      <w:proofErr w:type="gramStart"/>
      <w:r w:rsidRPr="00A20E22">
        <w:rPr>
          <w:sz w:val="26"/>
          <w:szCs w:val="26"/>
        </w:rPr>
        <w:t>пре</w:t>
      </w:r>
      <w:r w:rsidR="002206FD" w:rsidRPr="00A20E22">
        <w:rPr>
          <w:sz w:val="26"/>
          <w:szCs w:val="26"/>
        </w:rPr>
        <w:t>дставлены</w:t>
      </w:r>
      <w:proofErr w:type="gramEnd"/>
      <w:r w:rsidR="002206FD" w:rsidRPr="00A20E22">
        <w:rPr>
          <w:sz w:val="26"/>
          <w:szCs w:val="26"/>
        </w:rPr>
        <w:t xml:space="preserve"> 48 передвижных выставок</w:t>
      </w:r>
      <w:r w:rsidRPr="00A20E22">
        <w:rPr>
          <w:sz w:val="26"/>
          <w:szCs w:val="26"/>
        </w:rPr>
        <w:t xml:space="preserve"> (в январе-июне 2018 года – 47).</w:t>
      </w:r>
    </w:p>
    <w:p w:rsidR="002C58FA" w:rsidRPr="00A20E22" w:rsidRDefault="002C58FA" w:rsidP="002C58FA">
      <w:pPr>
        <w:ind w:firstLine="709"/>
        <w:jc w:val="both"/>
        <w:rPr>
          <w:rFonts w:eastAsia="Calibri"/>
          <w:sz w:val="26"/>
          <w:szCs w:val="26"/>
        </w:rPr>
      </w:pPr>
      <w:r w:rsidRPr="00A20E22">
        <w:rPr>
          <w:rFonts w:eastAsia="Calibri"/>
          <w:sz w:val="26"/>
          <w:szCs w:val="26"/>
        </w:rPr>
        <w:t xml:space="preserve">На базе Государственного Музея Природы и Человека действует сводный мультимедийный портал «Музеи Югры», который предоставляет доступ пользователям сети Интернет к </w:t>
      </w:r>
      <w:r w:rsidR="00501C84" w:rsidRPr="00A20E22">
        <w:rPr>
          <w:rFonts w:eastAsia="Calibri"/>
          <w:sz w:val="26"/>
          <w:szCs w:val="26"/>
        </w:rPr>
        <w:t>222,9</w:t>
      </w:r>
      <w:r w:rsidRPr="00A20E22">
        <w:rPr>
          <w:rFonts w:eastAsia="Calibri"/>
          <w:sz w:val="26"/>
          <w:szCs w:val="26"/>
        </w:rPr>
        <w:t xml:space="preserve"> тыс. записей и </w:t>
      </w:r>
      <w:r w:rsidR="00501C84" w:rsidRPr="00A20E22">
        <w:rPr>
          <w:rFonts w:eastAsia="Calibri"/>
          <w:sz w:val="26"/>
          <w:szCs w:val="26"/>
        </w:rPr>
        <w:t>238,1</w:t>
      </w:r>
      <w:r w:rsidRPr="00A20E22">
        <w:rPr>
          <w:rFonts w:eastAsia="Calibri"/>
          <w:sz w:val="26"/>
          <w:szCs w:val="26"/>
        </w:rPr>
        <w:t xml:space="preserve"> тыс. оцифрованным музейным предметам, хранящимся в государственных и муниципальных музеях автономного округа, а также доступ к окружной электронной базе данных «Великий подвиг народа». Портал «Музей Югры» – это первая музейная информационная система в РФ, объединившая в один информационный ресурс музеи региона.</w:t>
      </w:r>
    </w:p>
    <w:p w:rsidR="002C58FA" w:rsidRPr="00A20E22" w:rsidRDefault="002C58FA" w:rsidP="002C58FA">
      <w:pPr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 xml:space="preserve">В Музее Природы и Человека применяются тактильные комплексы: </w:t>
      </w:r>
      <w:proofErr w:type="gramStart"/>
      <w:r w:rsidRPr="00A20E22">
        <w:rPr>
          <w:sz w:val="26"/>
          <w:szCs w:val="26"/>
        </w:rPr>
        <w:t>«Археология», «Этнография», «Сибирская история», «История 20 век», «Биология», «Трогательное искусство», текстильные книги ручного ткачества, трехмерные модели копий предметов и реплик экспозиций, в том числе икон и картин из фондов музея, в тактильном изображении 3D и 2D формата, что позволяет слабовидящим и незрячим людям ознакомиться с фрагментами экспозиции и расширить свое познание о мире.</w:t>
      </w:r>
      <w:proofErr w:type="gramEnd"/>
    </w:p>
    <w:p w:rsidR="002C58FA" w:rsidRPr="00BC5CC2" w:rsidRDefault="002C58FA" w:rsidP="002C58FA">
      <w:pPr>
        <w:ind w:firstLine="709"/>
        <w:jc w:val="both"/>
        <w:rPr>
          <w:sz w:val="26"/>
          <w:szCs w:val="26"/>
        </w:rPr>
      </w:pPr>
      <w:proofErr w:type="gramStart"/>
      <w:r w:rsidRPr="00A20E22">
        <w:rPr>
          <w:sz w:val="26"/>
          <w:szCs w:val="26"/>
        </w:rPr>
        <w:t xml:space="preserve">Значимыми культурными мероприятиями в </w:t>
      </w:r>
      <w:r w:rsidR="00501C84" w:rsidRPr="00A20E22">
        <w:rPr>
          <w:sz w:val="26"/>
          <w:szCs w:val="26"/>
        </w:rPr>
        <w:t>январе-июне</w:t>
      </w:r>
      <w:r w:rsidRPr="00A20E22">
        <w:rPr>
          <w:sz w:val="26"/>
          <w:szCs w:val="26"/>
        </w:rPr>
        <w:t xml:space="preserve"> 2019 года стали: конкурс среди учащихся детских музыкальных школ и детских школ искусств Российской Федерации по специальностям «фортепиано», «скрипка», «виолончель», «вокал» и «духовые инструменты»; концерт в рамках цикла «Органная карта мира»; премьера спектакля  тетра обско-угорских народов «Солнце» – «Моя </w:t>
      </w:r>
      <w:proofErr w:type="spellStart"/>
      <w:r w:rsidRPr="00A20E22">
        <w:rPr>
          <w:sz w:val="26"/>
          <w:szCs w:val="26"/>
        </w:rPr>
        <w:t>калданка</w:t>
      </w:r>
      <w:proofErr w:type="spellEnd"/>
      <w:r w:rsidRPr="00A20E22">
        <w:rPr>
          <w:sz w:val="26"/>
          <w:szCs w:val="26"/>
        </w:rPr>
        <w:t xml:space="preserve"> уплывает вдаль»; открытие в Театре кукол Семейного клуба « </w:t>
      </w:r>
      <w:proofErr w:type="spellStart"/>
      <w:r w:rsidRPr="00A20E22">
        <w:rPr>
          <w:sz w:val="26"/>
          <w:szCs w:val="26"/>
        </w:rPr>
        <w:t>ТЕАТРиК</w:t>
      </w:r>
      <w:proofErr w:type="spellEnd"/>
      <w:r w:rsidRPr="00A20E22">
        <w:rPr>
          <w:sz w:val="26"/>
          <w:szCs w:val="26"/>
        </w:rPr>
        <w:t>»;</w:t>
      </w:r>
      <w:proofErr w:type="gramEnd"/>
      <w:r w:rsidRPr="00A20E22">
        <w:rPr>
          <w:sz w:val="26"/>
          <w:szCs w:val="26"/>
        </w:rPr>
        <w:t xml:space="preserve"> </w:t>
      </w:r>
      <w:proofErr w:type="gramStart"/>
      <w:r w:rsidRPr="00A20E22">
        <w:rPr>
          <w:sz w:val="26"/>
          <w:szCs w:val="26"/>
        </w:rPr>
        <w:t>открытие новой выставки «</w:t>
      </w:r>
      <w:proofErr w:type="spellStart"/>
      <w:r w:rsidRPr="00A20E22">
        <w:rPr>
          <w:sz w:val="26"/>
          <w:szCs w:val="26"/>
        </w:rPr>
        <w:t>АрхеоПалеоЛогично</w:t>
      </w:r>
      <w:proofErr w:type="spellEnd"/>
      <w:r w:rsidRPr="00A20E22">
        <w:rPr>
          <w:sz w:val="26"/>
          <w:szCs w:val="26"/>
        </w:rPr>
        <w:t xml:space="preserve"> или 20 лет спустя…», отражающей итоги и результаты деятельности отделов археологии и палеонтологии Музея Природы и Человека за 20 лет их существования; акция «85 добрых дел к 85-летию Государственной библиотеки Югры»; открытие выставки «Прощай, Афганистан!» в Музее Природы и Человека, посвященной 30-летию </w:t>
      </w:r>
      <w:r w:rsidRPr="00A20E22">
        <w:rPr>
          <w:sz w:val="26"/>
          <w:szCs w:val="26"/>
        </w:rPr>
        <w:lastRenderedPageBreak/>
        <w:t>вывода советских войск из Афганистана;</w:t>
      </w:r>
      <w:proofErr w:type="gramEnd"/>
      <w:r w:rsidRPr="00A20E22">
        <w:rPr>
          <w:sz w:val="26"/>
          <w:szCs w:val="26"/>
        </w:rPr>
        <w:t xml:space="preserve"> участие БУ «Музей геологии, нефти и газа» в организации I Международного нефтяного академического конгресса имени Ф.К. Салманова в составе II Международного молодёжного научно-практического форума «Нефтяная столица»; </w:t>
      </w:r>
      <w:proofErr w:type="spellStart"/>
      <w:r w:rsidRPr="00A20E22">
        <w:rPr>
          <w:sz w:val="26"/>
          <w:szCs w:val="26"/>
        </w:rPr>
        <w:t>Няганский</w:t>
      </w:r>
      <w:proofErr w:type="spellEnd"/>
      <w:r w:rsidRPr="00A20E22">
        <w:rPr>
          <w:sz w:val="26"/>
          <w:szCs w:val="26"/>
        </w:rPr>
        <w:t xml:space="preserve"> театр юного зрителя впервые провел онлайн-трансляцию спектакля при поддержке портала </w:t>
      </w:r>
      <w:proofErr w:type="spellStart"/>
      <w:r w:rsidRPr="00A20E22">
        <w:rPr>
          <w:sz w:val="26"/>
          <w:szCs w:val="26"/>
        </w:rPr>
        <w:t>Культура</w:t>
      </w:r>
      <w:proofErr w:type="gramStart"/>
      <w:r w:rsidRPr="00A20E22">
        <w:rPr>
          <w:sz w:val="26"/>
          <w:szCs w:val="26"/>
        </w:rPr>
        <w:t>.Р</w:t>
      </w:r>
      <w:proofErr w:type="gramEnd"/>
      <w:r w:rsidRPr="00A20E22">
        <w:rPr>
          <w:sz w:val="26"/>
          <w:szCs w:val="26"/>
        </w:rPr>
        <w:t>Ф</w:t>
      </w:r>
      <w:proofErr w:type="spellEnd"/>
      <w:r w:rsidRPr="00A20E22">
        <w:rPr>
          <w:sz w:val="26"/>
          <w:szCs w:val="26"/>
        </w:rPr>
        <w:t xml:space="preserve">; </w:t>
      </w:r>
      <w:proofErr w:type="spellStart"/>
      <w:r w:rsidRPr="00A20E22">
        <w:rPr>
          <w:sz w:val="26"/>
          <w:szCs w:val="26"/>
        </w:rPr>
        <w:t>XVII</w:t>
      </w:r>
      <w:proofErr w:type="spellEnd"/>
      <w:r w:rsidRPr="00A20E22">
        <w:rPr>
          <w:sz w:val="26"/>
          <w:szCs w:val="26"/>
        </w:rPr>
        <w:t xml:space="preserve"> Международный фестиваль кинематографических дебютов «Дух огня»; Международный форум, посвященный Году языков коренных народов в России; </w:t>
      </w:r>
      <w:proofErr w:type="gramStart"/>
      <w:r w:rsidRPr="00A20E22">
        <w:rPr>
          <w:sz w:val="26"/>
          <w:szCs w:val="26"/>
        </w:rPr>
        <w:t xml:space="preserve">VII региональная молодёжная конференция им. В.И. Шпильмана «Проблемы рационального природопользования и история геологического поиска в Западной Сибири»; Окружной фольклорный праздник коренных малочисленных народов Севера «Вороний день»; </w:t>
      </w:r>
      <w:r w:rsidRPr="00A20E22">
        <w:rPr>
          <w:bCs/>
          <w:sz w:val="26"/>
          <w:szCs w:val="26"/>
          <w:lang w:eastAsia="en-US"/>
        </w:rPr>
        <w:t>Общедоступные библиотеки 21 муниципального образования приняли участие во всероссийской акции «</w:t>
      </w:r>
      <w:proofErr w:type="spellStart"/>
      <w:r w:rsidRPr="00A20E22">
        <w:rPr>
          <w:bCs/>
          <w:sz w:val="26"/>
          <w:szCs w:val="26"/>
          <w:lang w:eastAsia="en-US"/>
        </w:rPr>
        <w:t>Библионочь</w:t>
      </w:r>
      <w:proofErr w:type="spellEnd"/>
      <w:r w:rsidRPr="00A20E22">
        <w:rPr>
          <w:bCs/>
          <w:sz w:val="26"/>
          <w:szCs w:val="26"/>
          <w:lang w:eastAsia="en-US"/>
        </w:rPr>
        <w:t xml:space="preserve">» на тему «Весь мир – театр»; </w:t>
      </w:r>
      <w:r w:rsidRPr="00A20E22">
        <w:rPr>
          <w:sz w:val="26"/>
          <w:szCs w:val="26"/>
        </w:rPr>
        <w:t xml:space="preserve">в г. Москве в </w:t>
      </w:r>
      <w:proofErr w:type="spellStart"/>
      <w:r w:rsidRPr="00A20E22">
        <w:rPr>
          <w:sz w:val="26"/>
          <w:szCs w:val="26"/>
        </w:rPr>
        <w:t>конгрессно</w:t>
      </w:r>
      <w:proofErr w:type="spellEnd"/>
      <w:r w:rsidRPr="00A20E22">
        <w:rPr>
          <w:sz w:val="26"/>
          <w:szCs w:val="26"/>
        </w:rPr>
        <w:t>-выставочном центре «Сокольники» прошла ежегодная Международная выставка-ярмарка «Сокровища Севера;</w:t>
      </w:r>
      <w:proofErr w:type="gramEnd"/>
      <w:r w:rsidRPr="00A20E22">
        <w:rPr>
          <w:sz w:val="28"/>
          <w:szCs w:val="28"/>
        </w:rPr>
        <w:t xml:space="preserve"> </w:t>
      </w:r>
      <w:proofErr w:type="gramStart"/>
      <w:r w:rsidRPr="00A20E22">
        <w:rPr>
          <w:bCs/>
          <w:sz w:val="26"/>
          <w:szCs w:val="26"/>
        </w:rPr>
        <w:t xml:space="preserve">в Музее Природы и Человека состоялось открытие выставки «Из </w:t>
      </w:r>
      <w:proofErr w:type="spellStart"/>
      <w:r w:rsidRPr="00A20E22">
        <w:rPr>
          <w:bCs/>
          <w:sz w:val="26"/>
          <w:szCs w:val="26"/>
        </w:rPr>
        <w:t>Самарово</w:t>
      </w:r>
      <w:proofErr w:type="spellEnd"/>
      <w:r w:rsidRPr="00A20E22">
        <w:rPr>
          <w:bCs/>
          <w:sz w:val="26"/>
          <w:szCs w:val="26"/>
        </w:rPr>
        <w:t xml:space="preserve"> на фронт», посвящённой 74 годовщине Победы в Великой Отечественной войне; </w:t>
      </w:r>
      <w:r w:rsidRPr="00A20E22">
        <w:rPr>
          <w:sz w:val="26"/>
          <w:szCs w:val="26"/>
        </w:rPr>
        <w:t xml:space="preserve">во всех муниципальных образованиях </w:t>
      </w:r>
      <w:r w:rsidRPr="00BC5CC2">
        <w:rPr>
          <w:sz w:val="26"/>
          <w:szCs w:val="26"/>
        </w:rPr>
        <w:t xml:space="preserve">автономного округа прошли Праздничные мероприятия,  посвящённые Дню Победы в Великой Отечественной войне 1941-45гг; </w:t>
      </w:r>
      <w:r w:rsidRPr="00BC5CC2">
        <w:rPr>
          <w:bCs/>
          <w:sz w:val="26"/>
          <w:szCs w:val="26"/>
          <w:lang w:eastAsia="en-US"/>
        </w:rPr>
        <w:t xml:space="preserve">акция «Единый день чтения в Югре» на тему «Читаем Гранина»; </w:t>
      </w:r>
      <w:r w:rsidRPr="00BC5CC2">
        <w:rPr>
          <w:bCs/>
          <w:sz w:val="26"/>
          <w:szCs w:val="26"/>
        </w:rPr>
        <w:t>все музеи Югры присоединились к всероссийской акции «Ночь музеев-2019»;</w:t>
      </w:r>
      <w:proofErr w:type="gramEnd"/>
      <w:r w:rsidRPr="00BC5CC2">
        <w:rPr>
          <w:bCs/>
          <w:sz w:val="26"/>
          <w:szCs w:val="26"/>
        </w:rPr>
        <w:t xml:space="preserve"> </w:t>
      </w:r>
      <w:r w:rsidRPr="00BC5CC2">
        <w:rPr>
          <w:sz w:val="26"/>
          <w:szCs w:val="26"/>
        </w:rPr>
        <w:t xml:space="preserve">окружной Дом народного творчества принимал участников Международного молодёжного фестиваля «Финно-угорская весна – 2019» на площадке «Культурное наследие»; </w:t>
      </w:r>
      <w:r w:rsidRPr="00BC5CC2">
        <w:rPr>
          <w:bCs/>
          <w:sz w:val="26"/>
          <w:szCs w:val="26"/>
        </w:rPr>
        <w:t xml:space="preserve">«Папина школа» </w:t>
      </w:r>
      <w:r w:rsidR="00BC5CC2" w:rsidRPr="00BC5CC2">
        <w:rPr>
          <w:bCs/>
          <w:sz w:val="26"/>
          <w:szCs w:val="26"/>
        </w:rPr>
        <w:t xml:space="preserve">– </w:t>
      </w:r>
      <w:r w:rsidRPr="00BC5CC2">
        <w:rPr>
          <w:bCs/>
          <w:sz w:val="26"/>
          <w:szCs w:val="26"/>
        </w:rPr>
        <w:t xml:space="preserve">уникальный проект БУ «Музей геологии, нефти и газа»; государственный художественный музей принял участие в XI </w:t>
      </w:r>
      <w:proofErr w:type="gramStart"/>
      <w:r w:rsidRPr="00BC5CC2">
        <w:rPr>
          <w:bCs/>
          <w:sz w:val="26"/>
          <w:szCs w:val="26"/>
        </w:rPr>
        <w:t>Международном</w:t>
      </w:r>
      <w:proofErr w:type="gramEnd"/>
      <w:r w:rsidRPr="00BC5CC2">
        <w:rPr>
          <w:bCs/>
          <w:sz w:val="26"/>
          <w:szCs w:val="26"/>
        </w:rPr>
        <w:t xml:space="preserve"> IT-форуме с участием стран БРИКС и ШОС;</w:t>
      </w:r>
      <w:r w:rsidRPr="00BC5CC2">
        <w:rPr>
          <w:sz w:val="26"/>
          <w:szCs w:val="26"/>
        </w:rPr>
        <w:t xml:space="preserve"> состоялась литературно-музыкальная встреча «…Когда заря с зарею сходится…»</w:t>
      </w:r>
      <w:r w:rsidRPr="00BC5CC2">
        <w:rPr>
          <w:bCs/>
          <w:sz w:val="26"/>
          <w:szCs w:val="26"/>
        </w:rPr>
        <w:t xml:space="preserve">; </w:t>
      </w:r>
      <w:r w:rsidRPr="00BC5CC2">
        <w:rPr>
          <w:bCs/>
          <w:sz w:val="26"/>
          <w:szCs w:val="26"/>
          <w:lang w:eastAsia="en-US"/>
        </w:rPr>
        <w:t>в 18 муниципальных образованиях Ханты-Мансийского автономного округа – Югры прошел региональный фестиваль «</w:t>
      </w:r>
      <w:proofErr w:type="gramStart"/>
      <w:r w:rsidRPr="00BC5CC2">
        <w:rPr>
          <w:bCs/>
          <w:sz w:val="26"/>
          <w:szCs w:val="26"/>
          <w:lang w:eastAsia="en-US"/>
        </w:rPr>
        <w:t>Читающая</w:t>
      </w:r>
      <w:proofErr w:type="gramEnd"/>
      <w:r w:rsidRPr="00BC5CC2">
        <w:rPr>
          <w:bCs/>
          <w:sz w:val="26"/>
          <w:szCs w:val="26"/>
          <w:lang w:eastAsia="en-US"/>
        </w:rPr>
        <w:t xml:space="preserve"> Югра».</w:t>
      </w:r>
    </w:p>
    <w:p w:rsidR="002C58FA" w:rsidRPr="00A20E22" w:rsidRDefault="002C58FA" w:rsidP="002C58F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BC5CC2">
        <w:rPr>
          <w:sz w:val="26"/>
          <w:szCs w:val="26"/>
        </w:rPr>
        <w:t>В январе-июне 2019 года государственными театрами автономного округа было осуществлено 1</w:t>
      </w:r>
      <w:r w:rsidR="001D6BC3">
        <w:rPr>
          <w:sz w:val="26"/>
          <w:szCs w:val="26"/>
        </w:rPr>
        <w:t> </w:t>
      </w:r>
      <w:r w:rsidRPr="00BC5CC2">
        <w:rPr>
          <w:sz w:val="26"/>
          <w:szCs w:val="26"/>
        </w:rPr>
        <w:t>111 показов с охватом более 94 тыс. зрителей, в том числе на гастролях показано 117 спектаклей, из них для детей</w:t>
      </w:r>
      <w:r w:rsidR="00F272F4" w:rsidRPr="00BC5CC2">
        <w:rPr>
          <w:sz w:val="26"/>
          <w:szCs w:val="26"/>
        </w:rPr>
        <w:t xml:space="preserve"> – </w:t>
      </w:r>
      <w:r w:rsidRPr="00BC5CC2">
        <w:rPr>
          <w:sz w:val="26"/>
          <w:szCs w:val="26"/>
        </w:rPr>
        <w:t>109, с общим охватом более 10,0 тыс. человек, из них 7,0 тыс. на мероприятиях для детей. В сельской местности проведено 30 мероприятий с общим охватом зрителей более</w:t>
      </w:r>
      <w:r w:rsidRPr="00A20E22">
        <w:rPr>
          <w:sz w:val="26"/>
          <w:szCs w:val="26"/>
        </w:rPr>
        <w:t xml:space="preserve"> 2,6 тыс. человек, из них 2</w:t>
      </w:r>
      <w:r w:rsidR="00501C84" w:rsidRPr="00A20E22">
        <w:rPr>
          <w:sz w:val="26"/>
          <w:szCs w:val="26"/>
        </w:rPr>
        <w:t xml:space="preserve"> </w:t>
      </w:r>
      <w:r w:rsidRPr="00A20E22">
        <w:rPr>
          <w:sz w:val="26"/>
          <w:szCs w:val="26"/>
        </w:rPr>
        <w:t>029 детей.</w:t>
      </w:r>
    </w:p>
    <w:p w:rsidR="009A3419" w:rsidRPr="00A20E22" w:rsidRDefault="009A3419" w:rsidP="009A3419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9A3419" w:rsidRPr="00A20E22" w:rsidRDefault="009A3419" w:rsidP="001B58EA">
      <w:pPr>
        <w:pStyle w:val="2"/>
        <w:numPr>
          <w:ilvl w:val="0"/>
          <w:numId w:val="0"/>
        </w:numPr>
        <w:rPr>
          <w:rFonts w:eastAsiaTheme="majorEastAsia"/>
          <w:color w:val="auto"/>
        </w:rPr>
      </w:pPr>
      <w:bookmarkStart w:id="25" w:name="_Toc10912560"/>
      <w:r w:rsidRPr="00A20E22">
        <w:rPr>
          <w:rFonts w:eastAsiaTheme="majorEastAsia"/>
          <w:color w:val="auto"/>
        </w:rPr>
        <w:t>Физическая культура и спорт</w:t>
      </w:r>
      <w:bookmarkEnd w:id="25"/>
    </w:p>
    <w:p w:rsidR="009A3419" w:rsidRPr="00A20E22" w:rsidRDefault="009A3419" w:rsidP="009A3419">
      <w:pPr>
        <w:ind w:firstLine="709"/>
        <w:jc w:val="both"/>
        <w:rPr>
          <w:sz w:val="26"/>
          <w:szCs w:val="26"/>
        </w:rPr>
      </w:pPr>
    </w:p>
    <w:p w:rsidR="002C58FA" w:rsidRPr="00A20E22" w:rsidRDefault="002C58FA" w:rsidP="002C58FA">
      <w:pPr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>Физкультурно-оздоровительную деятельность осуществляют                                                                             1359 учреждений, объединений и организаций, в том числе 7 государственных учреждений, из них 4 – автономные организации. Кроме того, функционирует 61 физкультурно-спортивн</w:t>
      </w:r>
      <w:r w:rsidR="002206FD" w:rsidRPr="00A20E22">
        <w:rPr>
          <w:sz w:val="26"/>
          <w:szCs w:val="26"/>
        </w:rPr>
        <w:t>ая</w:t>
      </w:r>
      <w:r w:rsidRPr="00A20E22">
        <w:rPr>
          <w:sz w:val="26"/>
          <w:szCs w:val="26"/>
        </w:rPr>
        <w:t xml:space="preserve"> организаци</w:t>
      </w:r>
      <w:r w:rsidR="002206FD" w:rsidRPr="00A20E22">
        <w:rPr>
          <w:sz w:val="26"/>
          <w:szCs w:val="26"/>
        </w:rPr>
        <w:t>я</w:t>
      </w:r>
      <w:r w:rsidRPr="00A20E22">
        <w:rPr>
          <w:sz w:val="26"/>
          <w:szCs w:val="26"/>
        </w:rPr>
        <w:t>, осуществляющ</w:t>
      </w:r>
      <w:r w:rsidR="002206FD" w:rsidRPr="00A20E22">
        <w:rPr>
          <w:sz w:val="26"/>
          <w:szCs w:val="26"/>
        </w:rPr>
        <w:t>ая</w:t>
      </w:r>
      <w:r w:rsidRPr="00A20E22">
        <w:rPr>
          <w:sz w:val="26"/>
          <w:szCs w:val="26"/>
        </w:rPr>
        <w:t xml:space="preserve"> спортивную подготовку с общим охватом занимающихся 56,0 тыс. человек. Функционирует                                      3220 спортивных сооружени</w:t>
      </w:r>
      <w:r w:rsidR="001D6BC3">
        <w:rPr>
          <w:sz w:val="26"/>
          <w:szCs w:val="26"/>
        </w:rPr>
        <w:t>й</w:t>
      </w:r>
      <w:r w:rsidRPr="00A20E22">
        <w:rPr>
          <w:sz w:val="26"/>
          <w:szCs w:val="26"/>
        </w:rPr>
        <w:t xml:space="preserve">. </w:t>
      </w:r>
    </w:p>
    <w:p w:rsidR="002C58FA" w:rsidRPr="00A20E22" w:rsidRDefault="002C58FA" w:rsidP="002C58FA">
      <w:pPr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 xml:space="preserve">В </w:t>
      </w:r>
      <w:r w:rsidR="00D704D3" w:rsidRPr="00A20E22">
        <w:rPr>
          <w:sz w:val="26"/>
          <w:szCs w:val="26"/>
        </w:rPr>
        <w:t xml:space="preserve">конце марта </w:t>
      </w:r>
      <w:r w:rsidRPr="00A20E22">
        <w:rPr>
          <w:sz w:val="26"/>
          <w:szCs w:val="26"/>
        </w:rPr>
        <w:t xml:space="preserve">2019 года состоялось торжественное открытие объекта «Физкультурно-спортивный комплекс с универсальным игровым залом в </w:t>
      </w:r>
      <w:r w:rsidR="00133B89">
        <w:rPr>
          <w:sz w:val="26"/>
          <w:szCs w:val="26"/>
        </w:rPr>
        <w:br/>
      </w:r>
      <w:r w:rsidRPr="00A20E22">
        <w:rPr>
          <w:sz w:val="26"/>
          <w:szCs w:val="26"/>
        </w:rPr>
        <w:t>г. Югорск».</w:t>
      </w:r>
    </w:p>
    <w:p w:rsidR="002C58FA" w:rsidRPr="00A20E22" w:rsidRDefault="002C58FA" w:rsidP="002C58FA">
      <w:pPr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>За счет средств автономного округа с долей софинансирования из бюджета муниципальных образований продолжается строительство 2 объектов спорта:</w:t>
      </w:r>
    </w:p>
    <w:p w:rsidR="002C58FA" w:rsidRPr="00A20E22" w:rsidRDefault="002C58FA" w:rsidP="00133B89">
      <w:pPr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lastRenderedPageBreak/>
        <w:t xml:space="preserve">«Спортивный центр с универсальным игровым залом и плоскостными спортивными сооружениями в г. </w:t>
      </w:r>
      <w:proofErr w:type="spellStart"/>
      <w:r w:rsidRPr="00A20E22">
        <w:rPr>
          <w:sz w:val="26"/>
          <w:szCs w:val="26"/>
        </w:rPr>
        <w:t>Мегионе</w:t>
      </w:r>
      <w:proofErr w:type="spellEnd"/>
      <w:r w:rsidRPr="00A20E22">
        <w:rPr>
          <w:sz w:val="26"/>
          <w:szCs w:val="26"/>
        </w:rPr>
        <w:t>»;</w:t>
      </w:r>
    </w:p>
    <w:p w:rsidR="002C58FA" w:rsidRPr="00A20E22" w:rsidRDefault="002C58FA" w:rsidP="00133B89">
      <w:pPr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>«Региональный центр единоборств в г. Ханты-Мансийске».</w:t>
      </w:r>
    </w:p>
    <w:p w:rsidR="002C58FA" w:rsidRPr="001D6BC3" w:rsidRDefault="002C58FA" w:rsidP="002C58FA">
      <w:pPr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>Организацией физкультурно-оздоровительной и спортивной работы в автономном округе занимаются 6,4 тыс. физкультурных работников. Обеспеченность тренерско-преподавательским составом от норматива РФ</w:t>
      </w:r>
      <w:r w:rsidRPr="00133B89">
        <w:rPr>
          <w:sz w:val="26"/>
          <w:szCs w:val="26"/>
          <w:vertAlign w:val="superscript"/>
        </w:rPr>
        <w:footnoteReference w:id="43"/>
      </w:r>
      <w:r w:rsidRPr="00A20E22">
        <w:rPr>
          <w:sz w:val="26"/>
          <w:szCs w:val="26"/>
        </w:rPr>
        <w:t xml:space="preserve"> </w:t>
      </w:r>
      <w:r w:rsidRPr="001D6BC3">
        <w:rPr>
          <w:sz w:val="26"/>
          <w:szCs w:val="26"/>
        </w:rPr>
        <w:t>составила 51,1 %.</w:t>
      </w:r>
    </w:p>
    <w:p w:rsidR="002C58FA" w:rsidRPr="00A20E22" w:rsidRDefault="002C58FA" w:rsidP="002C58FA">
      <w:pPr>
        <w:ind w:firstLine="709"/>
        <w:jc w:val="both"/>
        <w:rPr>
          <w:sz w:val="26"/>
          <w:szCs w:val="26"/>
        </w:rPr>
      </w:pPr>
      <w:r w:rsidRPr="001D6BC3">
        <w:rPr>
          <w:sz w:val="26"/>
          <w:szCs w:val="26"/>
        </w:rPr>
        <w:t xml:space="preserve">За январь – июнь 2019 года проведено 188 спортивных мероприятий, в том числе 4 международного, 14 всероссийского, 33 межрегионального и 137 окружного уровня. Охват участников составил 32,2 тыс. человек. Наиболее значимые мероприятия: </w:t>
      </w:r>
      <w:proofErr w:type="gramStart"/>
      <w:r w:rsidRPr="001D6BC3">
        <w:rPr>
          <w:sz w:val="26"/>
          <w:szCs w:val="26"/>
        </w:rPr>
        <w:t>Чемпионат</w:t>
      </w:r>
      <w:r w:rsidRPr="00A20E22">
        <w:rPr>
          <w:sz w:val="26"/>
          <w:szCs w:val="26"/>
        </w:rPr>
        <w:t xml:space="preserve"> мира по бильярду «Комбинированная пирамида», XXXVII открытая Всероссийская массовая лыжная гонка «Лыжня России-2019», Первенство России по биатлону среди юниоров и юниорок, </w:t>
      </w:r>
      <w:r w:rsidRPr="00A20E22">
        <w:rPr>
          <w:rFonts w:cs="Calibri"/>
          <w:sz w:val="26"/>
          <w:szCs w:val="26"/>
        </w:rPr>
        <w:t>VII</w:t>
      </w:r>
      <w:r w:rsidR="003D4F96">
        <w:rPr>
          <w:rFonts w:cs="Calibri"/>
          <w:sz w:val="26"/>
          <w:szCs w:val="26"/>
        </w:rPr>
        <w:t> </w:t>
      </w:r>
      <w:r w:rsidRPr="00A20E22">
        <w:rPr>
          <w:rFonts w:cs="Calibri"/>
          <w:sz w:val="26"/>
          <w:szCs w:val="26"/>
        </w:rPr>
        <w:t xml:space="preserve">Традиционный Международный Югорский лыжный марафон «UGRA SKI», </w:t>
      </w:r>
      <w:r w:rsidRPr="00A20E22">
        <w:rPr>
          <w:sz w:val="26"/>
          <w:szCs w:val="26"/>
        </w:rPr>
        <w:t xml:space="preserve">V Всемирные игры юных соотечественников, Международные соревнования на кубок Губернатора </w:t>
      </w:r>
      <w:r w:rsidR="001D6BC3">
        <w:rPr>
          <w:sz w:val="26"/>
          <w:szCs w:val="26"/>
        </w:rPr>
        <w:t xml:space="preserve">автономного округа </w:t>
      </w:r>
      <w:r w:rsidRPr="00A20E22">
        <w:rPr>
          <w:sz w:val="26"/>
          <w:szCs w:val="26"/>
        </w:rPr>
        <w:t xml:space="preserve">по гребле на </w:t>
      </w:r>
      <w:proofErr w:type="spellStart"/>
      <w:r w:rsidRPr="00A20E22">
        <w:rPr>
          <w:sz w:val="26"/>
          <w:szCs w:val="26"/>
        </w:rPr>
        <w:t>обласах</w:t>
      </w:r>
      <w:proofErr w:type="spellEnd"/>
      <w:r w:rsidRPr="00A20E22">
        <w:rPr>
          <w:sz w:val="26"/>
          <w:szCs w:val="26"/>
        </w:rPr>
        <w:t xml:space="preserve">, </w:t>
      </w:r>
      <w:proofErr w:type="spellStart"/>
      <w:r w:rsidRPr="00A20E22">
        <w:rPr>
          <w:sz w:val="26"/>
          <w:szCs w:val="26"/>
        </w:rPr>
        <w:t>II</w:t>
      </w:r>
      <w:proofErr w:type="spellEnd"/>
      <w:r w:rsidRPr="00A20E22">
        <w:rPr>
          <w:sz w:val="26"/>
          <w:szCs w:val="26"/>
        </w:rPr>
        <w:t xml:space="preserve"> Международный турнир по компьютерным играм «UGRA OPEN».</w:t>
      </w:r>
      <w:proofErr w:type="gramEnd"/>
    </w:p>
    <w:p w:rsidR="002C58FA" w:rsidRPr="001D6BC3" w:rsidRDefault="002C58FA" w:rsidP="002C58FA">
      <w:pPr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 xml:space="preserve">По состоянию на 1 июля 2019 года деятельность по развитию различных видов спорта в Югре осуществляют 61 некоммерческая организация, </w:t>
      </w:r>
      <w:proofErr w:type="gramStart"/>
      <w:r w:rsidRPr="00A20E22">
        <w:rPr>
          <w:sz w:val="26"/>
          <w:szCs w:val="26"/>
        </w:rPr>
        <w:t>являющиеся</w:t>
      </w:r>
      <w:proofErr w:type="gramEnd"/>
      <w:r w:rsidRPr="00A20E22">
        <w:rPr>
          <w:sz w:val="26"/>
          <w:szCs w:val="26"/>
        </w:rPr>
        <w:t xml:space="preserve"> аккредитованными федерациями спорта. За январь-июнь 2019 года процедуру государственной </w:t>
      </w:r>
      <w:r w:rsidR="002206FD" w:rsidRPr="00A20E22">
        <w:rPr>
          <w:sz w:val="26"/>
          <w:szCs w:val="26"/>
        </w:rPr>
        <w:t>аккредитации прошли 7 спортивных федераций</w:t>
      </w:r>
      <w:r w:rsidRPr="00A20E22">
        <w:rPr>
          <w:sz w:val="26"/>
          <w:szCs w:val="26"/>
        </w:rPr>
        <w:t xml:space="preserve"> – парашютный спорт, функциональное многоборье, тхэквондо, спортивная гимнастика, </w:t>
      </w:r>
      <w:r w:rsidRPr="001D6BC3">
        <w:rPr>
          <w:rFonts w:cs="Calibri"/>
          <w:sz w:val="26"/>
          <w:szCs w:val="26"/>
        </w:rPr>
        <w:t>тайский бокс, синхронное плавание, плавание и водное поло.</w:t>
      </w:r>
    </w:p>
    <w:p w:rsidR="002C58FA" w:rsidRPr="001D6BC3" w:rsidRDefault="002C58FA" w:rsidP="002C58FA">
      <w:pPr>
        <w:ind w:firstLine="709"/>
        <w:jc w:val="both"/>
        <w:rPr>
          <w:sz w:val="26"/>
          <w:szCs w:val="26"/>
        </w:rPr>
      </w:pPr>
      <w:r w:rsidRPr="001D6BC3">
        <w:rPr>
          <w:sz w:val="26"/>
          <w:szCs w:val="26"/>
        </w:rPr>
        <w:t xml:space="preserve">В январе-июне 2019 года 4832 спортсмена автономного округа приняли участие в 690 спортивных соревнованиях, в том числе в 536 – всероссийского уровня и 154 – международного уровня. По итогам выступлений завоевано 1542 медали, </w:t>
      </w:r>
      <w:r w:rsidR="003D4F96" w:rsidRPr="001D6BC3">
        <w:rPr>
          <w:sz w:val="26"/>
          <w:szCs w:val="26"/>
        </w:rPr>
        <w:t xml:space="preserve">в том числе </w:t>
      </w:r>
      <w:r w:rsidRPr="001D6BC3">
        <w:rPr>
          <w:sz w:val="26"/>
          <w:szCs w:val="26"/>
        </w:rPr>
        <w:t>580 золотых, 483 серебряных, 479 бронзовых.</w:t>
      </w:r>
    </w:p>
    <w:p w:rsidR="002C58FA" w:rsidRPr="00A20E22" w:rsidRDefault="002C58FA" w:rsidP="002C58FA">
      <w:pPr>
        <w:ind w:firstLine="709"/>
        <w:jc w:val="both"/>
        <w:rPr>
          <w:sz w:val="26"/>
          <w:szCs w:val="26"/>
        </w:rPr>
      </w:pPr>
      <w:proofErr w:type="gramStart"/>
      <w:r w:rsidRPr="001D6BC3">
        <w:rPr>
          <w:sz w:val="26"/>
          <w:szCs w:val="26"/>
        </w:rPr>
        <w:t>В автономном округе</w:t>
      </w:r>
      <w:r w:rsidRPr="00A20E22">
        <w:rPr>
          <w:sz w:val="26"/>
          <w:szCs w:val="26"/>
        </w:rPr>
        <w:t xml:space="preserve"> 166 учреждений ведут работу по развитию адаптивной физической культуры и спорта (из них 23 расположены в сельской местности), 9,5 тыс. человек систематически занимаются адаптивной физической культурой и спортом, что составляет 17,1 % от общего количества людей с инвалидностью, проживающих в Югре. </w:t>
      </w:r>
      <w:proofErr w:type="gramEnd"/>
    </w:p>
    <w:p w:rsidR="002C58FA" w:rsidRPr="00A20E22" w:rsidRDefault="002C58FA" w:rsidP="002C58FA">
      <w:pPr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 xml:space="preserve">Югра готовит спортсменов по 27 видам адаптивного спорта, в их число входят технически сложные виды спорта, такие как </w:t>
      </w:r>
      <w:proofErr w:type="spellStart"/>
      <w:r w:rsidRPr="00A20E22">
        <w:rPr>
          <w:sz w:val="26"/>
          <w:szCs w:val="26"/>
        </w:rPr>
        <w:t>следж</w:t>
      </w:r>
      <w:proofErr w:type="spellEnd"/>
      <w:r w:rsidRPr="00A20E22">
        <w:rPr>
          <w:sz w:val="26"/>
          <w:szCs w:val="26"/>
        </w:rPr>
        <w:t xml:space="preserve">-хоккей, тхэквондо, баскетбол на колясках, фехтование, гребля на байдарках и каноэ. </w:t>
      </w:r>
    </w:p>
    <w:p w:rsidR="002C58FA" w:rsidRPr="00A20E22" w:rsidRDefault="002C58FA" w:rsidP="002C58FA">
      <w:pPr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>В январе-июне 2019 года 153 спортсмена автономного округа с ограниченными возможностями здоровья приняли участие в 35 соревнованиях различного уровня, в том числе в 25 всероссийских и в 10 международных. Завоевано 125 медалей, из них 57 золотых, 39 серебряных и 29 бронзовых.</w:t>
      </w:r>
    </w:p>
    <w:p w:rsidR="002C58FA" w:rsidRPr="00A20E22" w:rsidRDefault="005F2175" w:rsidP="002C58FA">
      <w:pPr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 xml:space="preserve">Доля </w:t>
      </w:r>
      <w:r w:rsidR="002C58FA" w:rsidRPr="00A20E22">
        <w:rPr>
          <w:sz w:val="26"/>
          <w:szCs w:val="26"/>
        </w:rPr>
        <w:t xml:space="preserve">населения, систематически </w:t>
      </w:r>
      <w:proofErr w:type="gramStart"/>
      <w:r w:rsidR="002C58FA" w:rsidRPr="00A20E22">
        <w:rPr>
          <w:sz w:val="26"/>
          <w:szCs w:val="26"/>
        </w:rPr>
        <w:t>занимающегося</w:t>
      </w:r>
      <w:proofErr w:type="gramEnd"/>
      <w:r w:rsidR="002C58FA" w:rsidRPr="00A20E22">
        <w:rPr>
          <w:sz w:val="26"/>
          <w:szCs w:val="26"/>
        </w:rPr>
        <w:t xml:space="preserve"> физической культурой и спортом, увеличил</w:t>
      </w:r>
      <w:r w:rsidRPr="00A20E22">
        <w:rPr>
          <w:sz w:val="26"/>
          <w:szCs w:val="26"/>
        </w:rPr>
        <w:t>а</w:t>
      </w:r>
      <w:r w:rsidR="002C58FA" w:rsidRPr="00A20E22">
        <w:rPr>
          <w:sz w:val="26"/>
          <w:szCs w:val="26"/>
        </w:rPr>
        <w:t xml:space="preserve">сь в Югре на </w:t>
      </w:r>
      <w:r w:rsidRPr="00A20E22">
        <w:rPr>
          <w:sz w:val="26"/>
          <w:szCs w:val="26"/>
        </w:rPr>
        <w:t>2,0</w:t>
      </w:r>
      <w:r w:rsidR="002C58FA" w:rsidRPr="00A20E22">
        <w:rPr>
          <w:sz w:val="26"/>
          <w:szCs w:val="26"/>
        </w:rPr>
        <w:t xml:space="preserve"> % и </w:t>
      </w:r>
      <w:r w:rsidRPr="00A20E22">
        <w:rPr>
          <w:sz w:val="26"/>
          <w:szCs w:val="26"/>
        </w:rPr>
        <w:t>составила</w:t>
      </w:r>
      <w:r w:rsidR="002C58FA" w:rsidRPr="00A20E22">
        <w:rPr>
          <w:sz w:val="26"/>
          <w:szCs w:val="26"/>
        </w:rPr>
        <w:t xml:space="preserve"> </w:t>
      </w:r>
      <w:r w:rsidRPr="00A20E22">
        <w:rPr>
          <w:sz w:val="26"/>
          <w:szCs w:val="26"/>
        </w:rPr>
        <w:t>37,5 % от численности населения автономного округа (</w:t>
      </w:r>
      <w:r w:rsidR="002C58FA" w:rsidRPr="00A20E22">
        <w:rPr>
          <w:sz w:val="26"/>
          <w:szCs w:val="26"/>
        </w:rPr>
        <w:t>587,2 тыс.</w:t>
      </w:r>
      <w:r w:rsidRPr="00A20E22">
        <w:rPr>
          <w:sz w:val="26"/>
          <w:szCs w:val="26"/>
        </w:rPr>
        <w:t xml:space="preserve"> человек</w:t>
      </w:r>
      <w:r w:rsidR="002C58FA" w:rsidRPr="00A20E22">
        <w:rPr>
          <w:sz w:val="26"/>
          <w:szCs w:val="26"/>
        </w:rPr>
        <w:t>).</w:t>
      </w:r>
    </w:p>
    <w:p w:rsidR="002C58FA" w:rsidRPr="00A20E22" w:rsidRDefault="002C58FA" w:rsidP="002C58FA">
      <w:pPr>
        <w:ind w:firstLine="709"/>
        <w:jc w:val="both"/>
        <w:rPr>
          <w:sz w:val="26"/>
          <w:szCs w:val="26"/>
        </w:rPr>
      </w:pPr>
      <w:proofErr w:type="gramStart"/>
      <w:r w:rsidRPr="00A20E22">
        <w:rPr>
          <w:sz w:val="26"/>
          <w:szCs w:val="26"/>
        </w:rPr>
        <w:t>Проведены Зимн</w:t>
      </w:r>
      <w:r w:rsidR="0092417A" w:rsidRPr="00A20E22">
        <w:rPr>
          <w:sz w:val="26"/>
          <w:szCs w:val="26"/>
        </w:rPr>
        <w:t>ий и Летний Фестивали</w:t>
      </w:r>
      <w:r w:rsidRPr="00A20E22">
        <w:rPr>
          <w:sz w:val="26"/>
          <w:szCs w:val="26"/>
        </w:rPr>
        <w:t xml:space="preserve"> Всероссийского физкультурно-спортивного комплекса «Готов к труду и обороне» (ГТО) </w:t>
      </w:r>
      <w:r w:rsidR="00373F1E" w:rsidRPr="00A20E22">
        <w:rPr>
          <w:sz w:val="26"/>
          <w:szCs w:val="26"/>
        </w:rPr>
        <w:t>(</w:t>
      </w:r>
      <w:r w:rsidR="0092417A" w:rsidRPr="00A20E22">
        <w:rPr>
          <w:sz w:val="26"/>
          <w:szCs w:val="26"/>
        </w:rPr>
        <w:t xml:space="preserve">по 2 этапа </w:t>
      </w:r>
      <w:r w:rsidR="00373F1E" w:rsidRPr="00A20E22">
        <w:rPr>
          <w:sz w:val="26"/>
          <w:szCs w:val="26"/>
        </w:rPr>
        <w:t xml:space="preserve">в каждом </w:t>
      </w:r>
      <w:r w:rsidR="0092417A" w:rsidRPr="00A20E22">
        <w:rPr>
          <w:sz w:val="26"/>
          <w:szCs w:val="26"/>
        </w:rPr>
        <w:t xml:space="preserve">– I (муниципальный) и II (региональный)) </w:t>
      </w:r>
      <w:r w:rsidRPr="00A20E22">
        <w:rPr>
          <w:sz w:val="26"/>
          <w:szCs w:val="26"/>
        </w:rPr>
        <w:t xml:space="preserve">среди всех категорий населения, </w:t>
      </w:r>
      <w:r w:rsidR="00373F1E" w:rsidRPr="00A20E22">
        <w:rPr>
          <w:sz w:val="26"/>
          <w:szCs w:val="26"/>
        </w:rPr>
        <w:t xml:space="preserve">общее </w:t>
      </w:r>
      <w:r w:rsidRPr="00A20E22">
        <w:rPr>
          <w:sz w:val="26"/>
          <w:szCs w:val="26"/>
        </w:rPr>
        <w:t xml:space="preserve">количество участников </w:t>
      </w:r>
      <w:r w:rsidR="00B71FCD">
        <w:rPr>
          <w:sz w:val="26"/>
          <w:szCs w:val="26"/>
        </w:rPr>
        <w:t>4</w:t>
      </w:r>
      <w:r w:rsidR="00373F1E" w:rsidRPr="00A20E22">
        <w:rPr>
          <w:sz w:val="26"/>
          <w:szCs w:val="26"/>
        </w:rPr>
        <w:t>305</w:t>
      </w:r>
      <w:r w:rsidRPr="00A20E22">
        <w:rPr>
          <w:sz w:val="26"/>
          <w:szCs w:val="26"/>
        </w:rPr>
        <w:t xml:space="preserve"> человек.</w:t>
      </w:r>
      <w:proofErr w:type="gramEnd"/>
    </w:p>
    <w:p w:rsidR="002C58FA" w:rsidRPr="00A20E22" w:rsidRDefault="002C58FA" w:rsidP="002C58FA">
      <w:pPr>
        <w:ind w:firstLine="709"/>
        <w:jc w:val="both"/>
        <w:rPr>
          <w:sz w:val="26"/>
          <w:szCs w:val="26"/>
        </w:rPr>
      </w:pPr>
      <w:r w:rsidRPr="001D6BC3">
        <w:rPr>
          <w:sz w:val="26"/>
          <w:szCs w:val="26"/>
        </w:rPr>
        <w:lastRenderedPageBreak/>
        <w:t>За январь</w:t>
      </w:r>
      <w:r w:rsidR="001D6BC3" w:rsidRPr="001D6BC3">
        <w:rPr>
          <w:sz w:val="26"/>
          <w:szCs w:val="26"/>
        </w:rPr>
        <w:t>-</w:t>
      </w:r>
      <w:r w:rsidRPr="001D6BC3">
        <w:rPr>
          <w:sz w:val="26"/>
          <w:szCs w:val="26"/>
        </w:rPr>
        <w:t>июнь 2019 года в выполнении нормативов комплекса ГТО</w:t>
      </w:r>
      <w:r w:rsidR="00B71FCD">
        <w:rPr>
          <w:sz w:val="26"/>
          <w:szCs w:val="26"/>
        </w:rPr>
        <w:t xml:space="preserve"> приняли участие 31</w:t>
      </w:r>
      <w:r w:rsidRPr="00A20E22">
        <w:rPr>
          <w:sz w:val="26"/>
          <w:szCs w:val="26"/>
        </w:rPr>
        <w:t>306</w:t>
      </w:r>
      <w:r w:rsidR="00B71FCD">
        <w:rPr>
          <w:sz w:val="26"/>
          <w:szCs w:val="26"/>
        </w:rPr>
        <w:t xml:space="preserve"> человек. Присвоено 12</w:t>
      </w:r>
      <w:r w:rsidR="00624EBE" w:rsidRPr="00A20E22">
        <w:rPr>
          <w:sz w:val="26"/>
          <w:szCs w:val="26"/>
        </w:rPr>
        <w:t>260 знаков</w:t>
      </w:r>
      <w:r w:rsidRPr="00A20E22">
        <w:rPr>
          <w:sz w:val="26"/>
          <w:szCs w:val="26"/>
        </w:rPr>
        <w:t xml:space="preserve"> отлич</w:t>
      </w:r>
      <w:r w:rsidR="00B71FCD">
        <w:rPr>
          <w:sz w:val="26"/>
          <w:szCs w:val="26"/>
        </w:rPr>
        <w:t>ия ГТО, из них 2 657 золотых, 5</w:t>
      </w:r>
      <w:r w:rsidRPr="00A20E22">
        <w:rPr>
          <w:sz w:val="26"/>
          <w:szCs w:val="26"/>
        </w:rPr>
        <w:t>712 серебряных</w:t>
      </w:r>
      <w:r w:rsidR="008A4145" w:rsidRPr="00A20E22">
        <w:rPr>
          <w:sz w:val="26"/>
          <w:szCs w:val="26"/>
        </w:rPr>
        <w:t>,</w:t>
      </w:r>
      <w:r w:rsidR="00B71FCD">
        <w:rPr>
          <w:sz w:val="26"/>
          <w:szCs w:val="26"/>
        </w:rPr>
        <w:t xml:space="preserve"> 3</w:t>
      </w:r>
      <w:r w:rsidRPr="00A20E22">
        <w:rPr>
          <w:sz w:val="26"/>
          <w:szCs w:val="26"/>
        </w:rPr>
        <w:t>274 бронзовых.</w:t>
      </w:r>
    </w:p>
    <w:p w:rsidR="002C58FA" w:rsidRPr="00A77CA8" w:rsidRDefault="002C58FA" w:rsidP="002C58FA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A20E22">
        <w:rPr>
          <w:sz w:val="26"/>
          <w:szCs w:val="26"/>
        </w:rPr>
        <w:t xml:space="preserve">На официальном общероссийском сайте GTO.RU </w:t>
      </w:r>
      <w:r w:rsidRPr="00A77CA8">
        <w:rPr>
          <w:sz w:val="26"/>
          <w:szCs w:val="26"/>
        </w:rPr>
        <w:t xml:space="preserve">зарегистрировано 174,1 тыс. жителей автономного округа, </w:t>
      </w:r>
      <w:r w:rsidRPr="00A77CA8">
        <w:rPr>
          <w:rFonts w:eastAsiaTheme="minorHAnsi"/>
          <w:sz w:val="26"/>
          <w:szCs w:val="26"/>
          <w:lang w:eastAsia="en-US"/>
        </w:rPr>
        <w:t xml:space="preserve">что в соответствии с </w:t>
      </w:r>
      <w:r w:rsidR="008A4145" w:rsidRPr="00A77CA8">
        <w:rPr>
          <w:rFonts w:eastAsiaTheme="minorHAnsi"/>
          <w:sz w:val="26"/>
          <w:szCs w:val="26"/>
          <w:lang w:eastAsia="en-US"/>
        </w:rPr>
        <w:t>рейтингом является 17</w:t>
      </w:r>
      <w:r w:rsidRPr="00A77CA8">
        <w:rPr>
          <w:rFonts w:eastAsiaTheme="minorHAnsi"/>
          <w:sz w:val="26"/>
          <w:szCs w:val="26"/>
          <w:lang w:eastAsia="en-US"/>
        </w:rPr>
        <w:t xml:space="preserve"> местом по Российской Федерации и </w:t>
      </w:r>
      <w:r w:rsidR="008A4145" w:rsidRPr="00A77CA8">
        <w:rPr>
          <w:rFonts w:eastAsiaTheme="minorHAnsi"/>
          <w:sz w:val="26"/>
          <w:szCs w:val="26"/>
          <w:lang w:eastAsia="en-US"/>
        </w:rPr>
        <w:t>4</w:t>
      </w:r>
      <w:r w:rsidRPr="00A77CA8">
        <w:rPr>
          <w:rFonts w:eastAsiaTheme="minorHAnsi"/>
          <w:sz w:val="26"/>
          <w:szCs w:val="26"/>
          <w:lang w:eastAsia="en-US"/>
        </w:rPr>
        <w:t xml:space="preserve"> место</w:t>
      </w:r>
      <w:r w:rsidR="00A77CA8" w:rsidRPr="00A77CA8">
        <w:rPr>
          <w:rFonts w:eastAsiaTheme="minorHAnsi"/>
          <w:sz w:val="26"/>
          <w:szCs w:val="26"/>
          <w:lang w:eastAsia="en-US"/>
        </w:rPr>
        <w:t>м в Уральском федеральном округ</w:t>
      </w:r>
      <w:r w:rsidR="00A77CA8" w:rsidRPr="00A77CA8">
        <w:rPr>
          <w:rStyle w:val="a8"/>
          <w:rFonts w:eastAsiaTheme="minorHAnsi"/>
          <w:sz w:val="26"/>
          <w:szCs w:val="26"/>
          <w:lang w:eastAsia="en-US"/>
        </w:rPr>
        <w:footnoteReference w:id="44"/>
      </w:r>
      <w:r w:rsidRPr="00A77CA8">
        <w:rPr>
          <w:rFonts w:eastAsiaTheme="minorHAnsi"/>
          <w:sz w:val="26"/>
          <w:szCs w:val="26"/>
          <w:lang w:eastAsia="en-US"/>
        </w:rPr>
        <w:t>.</w:t>
      </w:r>
    </w:p>
    <w:p w:rsidR="009A3419" w:rsidRPr="00A77CA8" w:rsidRDefault="009A3419" w:rsidP="009A3419">
      <w:pPr>
        <w:ind w:firstLine="709"/>
        <w:jc w:val="both"/>
        <w:rPr>
          <w:sz w:val="26"/>
          <w:szCs w:val="26"/>
        </w:rPr>
      </w:pPr>
    </w:p>
    <w:p w:rsidR="009A3419" w:rsidRPr="00A77CA8" w:rsidRDefault="009A3419" w:rsidP="001B58EA">
      <w:pPr>
        <w:pStyle w:val="2"/>
        <w:numPr>
          <w:ilvl w:val="0"/>
          <w:numId w:val="0"/>
        </w:numPr>
        <w:rPr>
          <w:rFonts w:eastAsiaTheme="majorEastAsia"/>
          <w:color w:val="auto"/>
        </w:rPr>
      </w:pPr>
      <w:bookmarkStart w:id="26" w:name="_Toc10912561"/>
      <w:r w:rsidRPr="00A77CA8">
        <w:rPr>
          <w:rFonts w:eastAsiaTheme="majorEastAsia"/>
          <w:color w:val="auto"/>
        </w:rPr>
        <w:t>Социальная защита населения</w:t>
      </w:r>
      <w:bookmarkEnd w:id="26"/>
    </w:p>
    <w:p w:rsidR="009A3419" w:rsidRPr="00A77CA8" w:rsidRDefault="009A3419" w:rsidP="009A3419">
      <w:pPr>
        <w:widowControl w:val="0"/>
        <w:ind w:firstLine="709"/>
        <w:jc w:val="both"/>
        <w:rPr>
          <w:rFonts w:eastAsia="Calibri"/>
          <w:sz w:val="26"/>
          <w:szCs w:val="26"/>
        </w:rPr>
      </w:pPr>
    </w:p>
    <w:p w:rsidR="00C24319" w:rsidRPr="00A20E22" w:rsidRDefault="00C24319" w:rsidP="00584989">
      <w:pPr>
        <w:ind w:firstLine="709"/>
        <w:jc w:val="both"/>
        <w:rPr>
          <w:sz w:val="26"/>
          <w:szCs w:val="26"/>
        </w:rPr>
      </w:pPr>
      <w:r w:rsidRPr="00A77CA8">
        <w:rPr>
          <w:sz w:val="26"/>
          <w:szCs w:val="26"/>
        </w:rPr>
        <w:t>Сеть учреждений социального обслуживания по состоянию на 1 июля 2019 года включает 28 организаций социального обслуживания для граждан пожилого возраста и инвалидов, 17 организаций социального обслуживания семьи и детей</w:t>
      </w:r>
      <w:r w:rsidRPr="00A20E22">
        <w:rPr>
          <w:sz w:val="26"/>
          <w:szCs w:val="26"/>
        </w:rPr>
        <w:t>, бюджетное учреждение Ханты-Мансийского автономного округа – Югры «Методический центр развития социального обслуживания» и казенное учреждение Ханты-Мансийского автономного округа – Югры «Центр социальных выплат».</w:t>
      </w:r>
    </w:p>
    <w:p w:rsidR="003D2ED7" w:rsidRPr="00A20E22" w:rsidRDefault="00C24319" w:rsidP="00584989">
      <w:pPr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>Количество мер социальной поддержки, предоставленных гражданам в январе-июне 2019 года, составило 9</w:t>
      </w:r>
      <w:r w:rsidR="00581E0E" w:rsidRPr="00A20E22">
        <w:rPr>
          <w:sz w:val="26"/>
          <w:szCs w:val="26"/>
        </w:rPr>
        <w:t>4</w:t>
      </w:r>
      <w:r w:rsidRPr="00A20E22">
        <w:rPr>
          <w:sz w:val="26"/>
          <w:szCs w:val="26"/>
        </w:rPr>
        <w:t xml:space="preserve">. </w:t>
      </w:r>
    </w:p>
    <w:p w:rsidR="003D2ED7" w:rsidRPr="00A20E22" w:rsidRDefault="003D2ED7" w:rsidP="00584989">
      <w:pPr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>В 2019 году Правительством автономного округа принято решение о предоставлении единовременной денежной выплаты на приобретение (строительство) жилых помещений в счет погашения части остатка основного долга по ипотечному жилищному кредиту (займу).</w:t>
      </w:r>
    </w:p>
    <w:p w:rsidR="00C24319" w:rsidRPr="00584989" w:rsidRDefault="00C24319" w:rsidP="00584989">
      <w:pPr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>С февраля 2019 года началось предоставление новой меры социальной поддержки – единовременной денежной выплаты отдельным категориям граждан</w:t>
      </w:r>
      <w:r w:rsidRPr="00584989">
        <w:rPr>
          <w:sz w:val="26"/>
          <w:szCs w:val="26"/>
        </w:rPr>
        <w:t xml:space="preserve">, проживающих на территории автономного округа к 30-летию со дня вывода советских войск из Республики Афганистан. </w:t>
      </w:r>
    </w:p>
    <w:p w:rsidR="005E072F" w:rsidRPr="00A20E22" w:rsidRDefault="00C24319" w:rsidP="00584989">
      <w:pPr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>Выплаты мер социальной поддержки за январь-июнь 2019 года получили 312,4 тыс. человек или 18,8 % от общей численности населения автономного округа</w:t>
      </w:r>
      <w:r w:rsidRPr="007B5DC9">
        <w:rPr>
          <w:sz w:val="26"/>
          <w:szCs w:val="26"/>
          <w:vertAlign w:val="superscript"/>
        </w:rPr>
        <w:footnoteReference w:id="45"/>
      </w:r>
      <w:r w:rsidRPr="00A20E22">
        <w:rPr>
          <w:sz w:val="26"/>
          <w:szCs w:val="26"/>
        </w:rPr>
        <w:t xml:space="preserve"> (</w:t>
      </w:r>
      <w:r w:rsidR="009705B4" w:rsidRPr="00584989">
        <w:rPr>
          <w:sz w:val="26"/>
          <w:szCs w:val="26"/>
        </w:rPr>
        <w:t>январь-июнь</w:t>
      </w:r>
      <w:r w:rsidR="009705B4">
        <w:rPr>
          <w:sz w:val="26"/>
          <w:szCs w:val="26"/>
        </w:rPr>
        <w:t xml:space="preserve"> </w:t>
      </w:r>
      <w:r w:rsidRPr="00A20E22">
        <w:rPr>
          <w:sz w:val="26"/>
          <w:szCs w:val="26"/>
        </w:rPr>
        <w:t xml:space="preserve">2018 года – </w:t>
      </w:r>
      <w:r w:rsidR="009705B4">
        <w:rPr>
          <w:sz w:val="26"/>
          <w:szCs w:val="26"/>
        </w:rPr>
        <w:t xml:space="preserve">474,4 тыс. человек или 28,7 %). </w:t>
      </w:r>
      <w:r w:rsidR="005E072F" w:rsidRPr="00A20E22">
        <w:rPr>
          <w:sz w:val="26"/>
          <w:szCs w:val="26"/>
        </w:rPr>
        <w:t>В среднем на 1 получателя мер социальной поддержки приходится 2 выплаты, максимальное количество выплат на одного получателя – 10.</w:t>
      </w:r>
    </w:p>
    <w:p w:rsidR="005E072F" w:rsidRPr="00A20E22" w:rsidRDefault="005E072F" w:rsidP="00584989">
      <w:pPr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 xml:space="preserve">На реализацию государственных полномочий и гарантий по мерам социальной поддержки отдельных категорий граждан Югры направлено </w:t>
      </w:r>
      <w:r w:rsidR="00456C47" w:rsidRPr="00A20E22">
        <w:rPr>
          <w:sz w:val="26"/>
          <w:szCs w:val="26"/>
        </w:rPr>
        <w:t>8,3</w:t>
      </w:r>
      <w:r w:rsidRPr="00A20E22">
        <w:rPr>
          <w:sz w:val="26"/>
          <w:szCs w:val="26"/>
        </w:rPr>
        <w:t xml:space="preserve"> млрд. рублей, из них:</w:t>
      </w:r>
    </w:p>
    <w:p w:rsidR="005E072F" w:rsidRPr="00A20E22" w:rsidRDefault="005E072F" w:rsidP="00584989">
      <w:pPr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 xml:space="preserve">средства бюджета автономного округа – </w:t>
      </w:r>
      <w:r w:rsidR="00456C47" w:rsidRPr="00A20E22">
        <w:rPr>
          <w:sz w:val="26"/>
          <w:szCs w:val="26"/>
        </w:rPr>
        <w:t>5,5</w:t>
      </w:r>
      <w:r w:rsidR="00300838" w:rsidRPr="00A20E22">
        <w:rPr>
          <w:sz w:val="26"/>
          <w:szCs w:val="26"/>
        </w:rPr>
        <w:t xml:space="preserve"> </w:t>
      </w:r>
      <w:r w:rsidRPr="00A20E22">
        <w:rPr>
          <w:sz w:val="26"/>
          <w:szCs w:val="26"/>
        </w:rPr>
        <w:t>млрд. рублей;</w:t>
      </w:r>
    </w:p>
    <w:p w:rsidR="00300838" w:rsidRPr="00A20E22" w:rsidRDefault="005E072F" w:rsidP="00584989">
      <w:pPr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>средства федерального бюджета –</w:t>
      </w:r>
      <w:r w:rsidR="00300838" w:rsidRPr="00A20E22">
        <w:rPr>
          <w:sz w:val="26"/>
          <w:szCs w:val="26"/>
        </w:rPr>
        <w:t xml:space="preserve"> </w:t>
      </w:r>
      <w:r w:rsidR="00456C47" w:rsidRPr="00A20E22">
        <w:rPr>
          <w:sz w:val="26"/>
          <w:szCs w:val="26"/>
        </w:rPr>
        <w:t>1,5 млрд. рублей;</w:t>
      </w:r>
    </w:p>
    <w:p w:rsidR="00456C47" w:rsidRPr="00A20E22" w:rsidRDefault="00456C47" w:rsidP="00584989">
      <w:pPr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>иные внебюджетные источники – 1,3 млрд. рублей.</w:t>
      </w:r>
    </w:p>
    <w:p w:rsidR="005E072F" w:rsidRPr="00A20E22" w:rsidRDefault="005E072F" w:rsidP="00584989">
      <w:pPr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>Расходные обяза</w:t>
      </w:r>
      <w:r w:rsidR="00054466" w:rsidRPr="00A20E22">
        <w:rPr>
          <w:sz w:val="26"/>
          <w:szCs w:val="26"/>
        </w:rPr>
        <w:t xml:space="preserve">тельства по социальным выплатам </w:t>
      </w:r>
      <w:r w:rsidRPr="00A20E22">
        <w:rPr>
          <w:sz w:val="26"/>
          <w:szCs w:val="26"/>
        </w:rPr>
        <w:t>максимально осуществляются на основе принципов адресности и нуждаемости.</w:t>
      </w:r>
    </w:p>
    <w:p w:rsidR="00C24319" w:rsidRPr="00A20E22" w:rsidRDefault="00C24319" w:rsidP="00584989">
      <w:pPr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>В автономном округе реализуется комплекс мероприятий, направленных на повышение качества жизни граждан пожилого возраста, включающий развитие и внедрение современных технологий социального обслуживания, в том числе:</w:t>
      </w:r>
      <w:r w:rsidR="009705B4">
        <w:rPr>
          <w:sz w:val="26"/>
          <w:szCs w:val="26"/>
        </w:rPr>
        <w:t xml:space="preserve"> </w:t>
      </w:r>
    </w:p>
    <w:p w:rsidR="00C24319" w:rsidRPr="00A20E22" w:rsidRDefault="00C24319" w:rsidP="00584989">
      <w:pPr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 xml:space="preserve">приемная семья для пожилого гражданина, неспособного по состоянию здоровья выполнять повседневную деятельность – в январе-июне 2019 года в </w:t>
      </w:r>
      <w:r w:rsidRPr="00A20E22">
        <w:rPr>
          <w:sz w:val="26"/>
          <w:szCs w:val="26"/>
        </w:rPr>
        <w:lastRenderedPageBreak/>
        <w:t>автономном округе действовали 176 приёмных семей в 20 муниципальных образованиях (</w:t>
      </w:r>
      <w:r w:rsidR="009705B4" w:rsidRPr="001D6BC3">
        <w:rPr>
          <w:sz w:val="26"/>
          <w:szCs w:val="26"/>
        </w:rPr>
        <w:t>январь-июнь 2018 года</w:t>
      </w:r>
      <w:r w:rsidR="001D6BC3">
        <w:rPr>
          <w:sz w:val="26"/>
          <w:szCs w:val="26"/>
        </w:rPr>
        <w:t xml:space="preserve"> </w:t>
      </w:r>
      <w:r w:rsidRPr="00A20E22">
        <w:rPr>
          <w:sz w:val="26"/>
          <w:szCs w:val="26"/>
        </w:rPr>
        <w:t xml:space="preserve">– 168 приёмных семей); </w:t>
      </w:r>
    </w:p>
    <w:p w:rsidR="00C24319" w:rsidRPr="00A20E22" w:rsidRDefault="00C24319" w:rsidP="00584989">
      <w:pPr>
        <w:ind w:firstLine="709"/>
        <w:jc w:val="both"/>
        <w:rPr>
          <w:sz w:val="26"/>
          <w:szCs w:val="26"/>
        </w:rPr>
      </w:pPr>
      <w:proofErr w:type="gramStart"/>
      <w:r w:rsidRPr="001D6BC3">
        <w:rPr>
          <w:sz w:val="26"/>
          <w:szCs w:val="26"/>
        </w:rPr>
        <w:t>«Резиденция для пожилых» – пансионаты, предоставляющие услуги по постоянному постороннему уходу гражданам пожилого возраста и инвалидам, переданные на условиях аренды объектам частного предпринимательства.</w:t>
      </w:r>
      <w:proofErr w:type="gramEnd"/>
      <w:r w:rsidRPr="001D6BC3">
        <w:rPr>
          <w:sz w:val="26"/>
          <w:szCs w:val="26"/>
        </w:rPr>
        <w:t xml:space="preserve"> В Югре 3 отделения бюджетных учреждений автономного округа переданы социальным предпринимателям в городах </w:t>
      </w:r>
      <w:proofErr w:type="spellStart"/>
      <w:r w:rsidRPr="001D6BC3">
        <w:rPr>
          <w:sz w:val="26"/>
          <w:szCs w:val="26"/>
        </w:rPr>
        <w:t>Югорске</w:t>
      </w:r>
      <w:proofErr w:type="spellEnd"/>
      <w:r w:rsidRPr="001D6BC3">
        <w:rPr>
          <w:sz w:val="26"/>
          <w:szCs w:val="26"/>
        </w:rPr>
        <w:t xml:space="preserve">, </w:t>
      </w:r>
      <w:proofErr w:type="spellStart"/>
      <w:r w:rsidRPr="001D6BC3">
        <w:rPr>
          <w:sz w:val="26"/>
          <w:szCs w:val="26"/>
        </w:rPr>
        <w:t>Мегионе</w:t>
      </w:r>
      <w:proofErr w:type="spellEnd"/>
      <w:r w:rsidRPr="001D6BC3">
        <w:rPr>
          <w:sz w:val="26"/>
          <w:szCs w:val="26"/>
        </w:rPr>
        <w:t xml:space="preserve"> и Советском. </w:t>
      </w:r>
      <w:r w:rsidRPr="00A20E22">
        <w:rPr>
          <w:sz w:val="26"/>
          <w:szCs w:val="26"/>
        </w:rPr>
        <w:t xml:space="preserve">Оплата пребывания в пансионатах для одиноких граждан осуществляется посредством предоставления сертификатов, </w:t>
      </w:r>
      <w:r w:rsidRPr="001D6BC3">
        <w:rPr>
          <w:sz w:val="26"/>
          <w:szCs w:val="26"/>
        </w:rPr>
        <w:t xml:space="preserve">с </w:t>
      </w:r>
      <w:r w:rsidR="001D6BC3" w:rsidRPr="001D6BC3">
        <w:rPr>
          <w:sz w:val="26"/>
          <w:szCs w:val="26"/>
        </w:rPr>
        <w:t xml:space="preserve">1 января </w:t>
      </w:r>
      <w:r w:rsidRPr="001D6BC3">
        <w:rPr>
          <w:sz w:val="26"/>
          <w:szCs w:val="26"/>
        </w:rPr>
        <w:t>2019</w:t>
      </w:r>
      <w:r w:rsidRPr="00A20E22">
        <w:rPr>
          <w:sz w:val="26"/>
          <w:szCs w:val="26"/>
        </w:rPr>
        <w:t xml:space="preserve"> года стоимость одного серти</w:t>
      </w:r>
      <w:r w:rsidR="001D6BC3">
        <w:rPr>
          <w:sz w:val="26"/>
          <w:szCs w:val="26"/>
        </w:rPr>
        <w:t xml:space="preserve">фиката составляет </w:t>
      </w:r>
      <w:r w:rsidRPr="00A20E22">
        <w:rPr>
          <w:sz w:val="26"/>
          <w:szCs w:val="26"/>
        </w:rPr>
        <w:t>32 587 рублей в месяц. За январь-июнь 2019 года в частных пансионатах социальные услуги за счет средств сертификатов получили 23 человека (январ</w:t>
      </w:r>
      <w:r w:rsidR="009705B4">
        <w:rPr>
          <w:sz w:val="26"/>
          <w:szCs w:val="26"/>
        </w:rPr>
        <w:t>ь</w:t>
      </w:r>
      <w:r w:rsidRPr="00A20E22">
        <w:rPr>
          <w:sz w:val="26"/>
          <w:szCs w:val="26"/>
        </w:rPr>
        <w:t>-июн</w:t>
      </w:r>
      <w:r w:rsidR="009705B4">
        <w:rPr>
          <w:sz w:val="26"/>
          <w:szCs w:val="26"/>
        </w:rPr>
        <w:t>ь</w:t>
      </w:r>
      <w:r w:rsidRPr="00A20E22">
        <w:rPr>
          <w:sz w:val="26"/>
          <w:szCs w:val="26"/>
        </w:rPr>
        <w:t xml:space="preserve"> 2018 года – 25 человек);</w:t>
      </w:r>
    </w:p>
    <w:p w:rsidR="00C24319" w:rsidRPr="00A20E22" w:rsidRDefault="00C24319" w:rsidP="00584989">
      <w:pPr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 xml:space="preserve">уход за одинокими тяжелобольными гражданами </w:t>
      </w:r>
      <w:r w:rsidRPr="001D6BC3">
        <w:rPr>
          <w:sz w:val="26"/>
          <w:szCs w:val="26"/>
        </w:rPr>
        <w:t>на дому</w:t>
      </w:r>
      <w:r w:rsidR="00C45F8B">
        <w:rPr>
          <w:sz w:val="26"/>
          <w:szCs w:val="26"/>
        </w:rPr>
        <w:t xml:space="preserve"> </w:t>
      </w:r>
      <w:r w:rsidRPr="001D6BC3">
        <w:rPr>
          <w:sz w:val="26"/>
          <w:szCs w:val="26"/>
        </w:rPr>
        <w:t xml:space="preserve">(осуществляется </w:t>
      </w:r>
      <w:r w:rsidRPr="00A20E22">
        <w:rPr>
          <w:sz w:val="26"/>
          <w:szCs w:val="26"/>
        </w:rPr>
        <w:t>путем предоставления сертификатов) – в январе-июне 2019 года уходом были обеспечены 10 человек (в январе-июне 2019 года – 18 человек);</w:t>
      </w:r>
    </w:p>
    <w:p w:rsidR="00C24319" w:rsidRPr="00A20E22" w:rsidRDefault="00C24319" w:rsidP="00584989">
      <w:pPr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>«Мобильные социальные службы» – в 12 комплексных центрах социального обслуживания населения действуют 15 мобильных социальных служб. В январе-июне 2019 года обслужены 1</w:t>
      </w:r>
      <w:r w:rsidR="008667C8" w:rsidRPr="00A20E22">
        <w:rPr>
          <w:sz w:val="26"/>
          <w:szCs w:val="26"/>
        </w:rPr>
        <w:t>2</w:t>
      </w:r>
      <w:r w:rsidRPr="00A20E22">
        <w:rPr>
          <w:sz w:val="26"/>
          <w:szCs w:val="26"/>
        </w:rPr>
        <w:t>26 человек (в январе-июне 2018 года – 1474 человека);</w:t>
      </w:r>
    </w:p>
    <w:p w:rsidR="00C24319" w:rsidRPr="00A20E22" w:rsidRDefault="00C24319" w:rsidP="00584989">
      <w:pPr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 xml:space="preserve">«Социальное такси» – в 18 комплексных центрах социального обслуживания населения созданы службы, позволяющие обеспечить полноценную интеграцию пожилых людей и инвалидов в общество путем создания условий для их беспрепятственного передвижения, доступа и пользования объектами социальной инфраструктуры. За январь-июнь 2019 года услугами «Социальное такси» воспользовались 622 человека (в январе-июне 2018 года – 841 человек); </w:t>
      </w:r>
    </w:p>
    <w:p w:rsidR="00C24319" w:rsidRPr="00A20E22" w:rsidRDefault="00C24319" w:rsidP="00584989">
      <w:pPr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>Обучение граждан старшего поколения по программе «Университет третьего возраста» осуществляется в 23 учреждениях социального обслуживания граждан пожилого возраста и инвалидов по 11 направлениям (факультетам): «Информационные технологии и компьютерная грамотность», «Культура и искусство», «Здоровье и физическая активность», «Социальный туризм», «Психология», «Правовые знания», «Финансовая грамотность», «Волонтеры серебряного возраста», «Растениеводство», «Творческое развитие личности», «Безопасность жизнедеятельности». За январь-июнь 2019 года на факультетах проведены 4448 занятий, на которых присутствовали 3152 слушателя (</w:t>
      </w:r>
      <w:r w:rsidR="00245E43" w:rsidRPr="001D6BC3">
        <w:rPr>
          <w:sz w:val="26"/>
          <w:szCs w:val="26"/>
        </w:rPr>
        <w:t>январь-июнь</w:t>
      </w:r>
      <w:r w:rsidR="00245E43">
        <w:rPr>
          <w:sz w:val="26"/>
          <w:szCs w:val="26"/>
        </w:rPr>
        <w:t xml:space="preserve"> </w:t>
      </w:r>
      <w:r w:rsidRPr="00A20E22">
        <w:rPr>
          <w:sz w:val="26"/>
          <w:szCs w:val="26"/>
        </w:rPr>
        <w:t>2018 года – 3</w:t>
      </w:r>
      <w:r w:rsidR="00B71FCD">
        <w:rPr>
          <w:sz w:val="26"/>
          <w:szCs w:val="26"/>
        </w:rPr>
        <w:t>460 занятий, которые посетили 2</w:t>
      </w:r>
      <w:r w:rsidRPr="00A20E22">
        <w:rPr>
          <w:sz w:val="26"/>
          <w:szCs w:val="26"/>
        </w:rPr>
        <w:t>186 слушателя).</w:t>
      </w:r>
    </w:p>
    <w:p w:rsidR="00C24319" w:rsidRPr="00A20E22" w:rsidRDefault="00C24319" w:rsidP="00584989">
      <w:pPr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>В автономном округе используются технологии социальной реабилитации граждан, находящихся в трудной жизненной ситуации.</w:t>
      </w:r>
    </w:p>
    <w:p w:rsidR="00C24319" w:rsidRPr="00A20E22" w:rsidRDefault="00C24319" w:rsidP="00584989">
      <w:pPr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>В 3 муниципальных образованиях (города Сургут и Ханты-Мансийск, Сургутский район) на базе кризисных отделений учреждений социального обслуживания оказывается</w:t>
      </w:r>
      <w:r w:rsidRPr="00A20E22">
        <w:rPr>
          <w:bCs/>
          <w:sz w:val="26"/>
          <w:szCs w:val="26"/>
        </w:rPr>
        <w:t xml:space="preserve"> комплексная социальная помощь </w:t>
      </w:r>
      <w:r w:rsidRPr="00A20E22">
        <w:rPr>
          <w:sz w:val="26"/>
          <w:szCs w:val="26"/>
        </w:rPr>
        <w:t>для матерей с детьми и беременных женщин. За январь-июнь 2019 года социальную реабилитацию в кризисных отделениях прошли 48 женщин и 48 детей (</w:t>
      </w:r>
      <w:r w:rsidR="00584989" w:rsidRPr="00584989">
        <w:rPr>
          <w:sz w:val="26"/>
          <w:szCs w:val="26"/>
        </w:rPr>
        <w:t>январь-июнь</w:t>
      </w:r>
      <w:r w:rsidRPr="00A20E22">
        <w:rPr>
          <w:sz w:val="26"/>
          <w:szCs w:val="26"/>
        </w:rPr>
        <w:t xml:space="preserve"> 2018 года – 92 женщины, 108 детей).</w:t>
      </w:r>
    </w:p>
    <w:p w:rsidR="00C24319" w:rsidRPr="00A20E22" w:rsidRDefault="00C24319" w:rsidP="00C24319">
      <w:pPr>
        <w:pStyle w:val="af2"/>
        <w:ind w:firstLine="709"/>
        <w:jc w:val="both"/>
        <w:rPr>
          <w:bCs/>
          <w:sz w:val="26"/>
          <w:szCs w:val="26"/>
        </w:rPr>
      </w:pPr>
      <w:r w:rsidRPr="00A20E22">
        <w:rPr>
          <w:sz w:val="26"/>
          <w:szCs w:val="26"/>
        </w:rPr>
        <w:t>Для выявления семей, нуждающихся в социальном обслуживании, сопровождении на территории автономного округа действуют с</w:t>
      </w:r>
      <w:r w:rsidRPr="00A20E22">
        <w:rPr>
          <w:bCs/>
          <w:sz w:val="26"/>
          <w:szCs w:val="26"/>
        </w:rPr>
        <w:t>лужбы «Экстренная детская помощь» и «Участковая социальная служба».</w:t>
      </w:r>
    </w:p>
    <w:p w:rsidR="00C24319" w:rsidRPr="00A20E22" w:rsidRDefault="00C24319" w:rsidP="00584989">
      <w:pPr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lastRenderedPageBreak/>
        <w:t>Действуют 2 службы экстренной психологической помощи, деятельность которых направлена на оказание психологической помощи гражданам, в том числе несовершеннолетним, в круглосуточном режиме:</w:t>
      </w:r>
    </w:p>
    <w:p w:rsidR="00C24319" w:rsidRPr="00A20E22" w:rsidRDefault="00C24319" w:rsidP="00584989">
      <w:pPr>
        <w:ind w:firstLine="709"/>
        <w:jc w:val="both"/>
        <w:rPr>
          <w:sz w:val="26"/>
          <w:szCs w:val="26"/>
        </w:rPr>
      </w:pPr>
      <w:proofErr w:type="gramStart"/>
      <w:r w:rsidRPr="00A20E22">
        <w:rPr>
          <w:sz w:val="26"/>
          <w:szCs w:val="26"/>
        </w:rPr>
        <w:t>единая</w:t>
      </w:r>
      <w:proofErr w:type="gramEnd"/>
      <w:r w:rsidRPr="00A20E22">
        <w:rPr>
          <w:sz w:val="26"/>
          <w:szCs w:val="26"/>
        </w:rPr>
        <w:t xml:space="preserve"> социально-психологическая служба «Телефон доверия» – за январь-июнь 2019 года поступило 5,1 тыс. обращений (за январь-июнь 2018 года – 2,4 тыс. обращений);</w:t>
      </w:r>
    </w:p>
    <w:p w:rsidR="00C24319" w:rsidRPr="00A20E22" w:rsidRDefault="00C24319" w:rsidP="00584989">
      <w:pPr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 xml:space="preserve">служба экстренной психологической помощи с единым общероссийским номером «Детский телефон доверия» – за январь-июнь 2019 года поступило 6,1 тыс. обращений (за январь-июнь 2018 года – 5,9 тыс. обращений). </w:t>
      </w:r>
    </w:p>
    <w:p w:rsidR="00C24319" w:rsidRPr="00A20E22" w:rsidRDefault="00C24319" w:rsidP="00584989">
      <w:pPr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>Мерой социальной поддержки в виде Югорского (регионального) семейного капитала воспользовались 1479 семей, из них на улучшение жилищных условий –    1175 семей, на получение образования – 141 семья, на получение медицинских услуг – 163 семьи. Размер Югорского семейного капитала</w:t>
      </w:r>
      <w:r w:rsidR="00122206">
        <w:rPr>
          <w:sz w:val="26"/>
          <w:szCs w:val="26"/>
        </w:rPr>
        <w:t xml:space="preserve"> составляет 116</w:t>
      </w:r>
      <w:r w:rsidRPr="00A20E22">
        <w:rPr>
          <w:sz w:val="26"/>
          <w:szCs w:val="26"/>
        </w:rPr>
        <w:t>092 рубля (с учетом индексации с 01.01.2015).</w:t>
      </w:r>
    </w:p>
    <w:p w:rsidR="00C24319" w:rsidRPr="00A20E22" w:rsidRDefault="00C24319" w:rsidP="00584989">
      <w:pPr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 xml:space="preserve">Из средств бюджета автономного округа в соответствии с Законом автономного округа от 7 июля 2004 года № 45-оз «О поддержке семьи, материнства, отцовства и детства </w:t>
      </w:r>
      <w:proofErr w:type="gramStart"/>
      <w:r w:rsidRPr="00A20E22">
        <w:rPr>
          <w:sz w:val="26"/>
          <w:szCs w:val="26"/>
        </w:rPr>
        <w:t>в</w:t>
      </w:r>
      <w:proofErr w:type="gramEnd"/>
      <w:r w:rsidRPr="00A20E22">
        <w:rPr>
          <w:sz w:val="26"/>
          <w:szCs w:val="26"/>
        </w:rPr>
        <w:t xml:space="preserve"> </w:t>
      </w:r>
      <w:proofErr w:type="gramStart"/>
      <w:r w:rsidRPr="00A20E22">
        <w:rPr>
          <w:sz w:val="26"/>
          <w:szCs w:val="26"/>
        </w:rPr>
        <w:t>Ханты-Мансийском</w:t>
      </w:r>
      <w:proofErr w:type="gramEnd"/>
      <w:r w:rsidRPr="00A20E22">
        <w:rPr>
          <w:sz w:val="26"/>
          <w:szCs w:val="26"/>
        </w:rPr>
        <w:t xml:space="preserve"> автономном округе – Югре» семьям, имеющим детей, выплачивалось 13 видов пособий. </w:t>
      </w:r>
    </w:p>
    <w:p w:rsidR="00C24319" w:rsidRPr="00A20E22" w:rsidRDefault="00C24319" w:rsidP="00584989">
      <w:pPr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 xml:space="preserve">В числе наиболее востребованных видов пособий в отчетном периоде </w:t>
      </w:r>
      <w:proofErr w:type="gramStart"/>
      <w:r w:rsidRPr="00A20E22">
        <w:rPr>
          <w:sz w:val="26"/>
          <w:szCs w:val="26"/>
        </w:rPr>
        <w:t>отмечены</w:t>
      </w:r>
      <w:proofErr w:type="gramEnd"/>
      <w:r w:rsidRPr="00A20E22">
        <w:rPr>
          <w:sz w:val="26"/>
          <w:szCs w:val="26"/>
        </w:rPr>
        <w:t xml:space="preserve">: </w:t>
      </w:r>
    </w:p>
    <w:p w:rsidR="00C24319" w:rsidRPr="00A20E22" w:rsidRDefault="00C24319" w:rsidP="00584989">
      <w:pPr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 xml:space="preserve">ежемесячное пособие на ребенка (детей) в размере 968 рублей выплачено на 83,0 тыс. детей; </w:t>
      </w:r>
    </w:p>
    <w:p w:rsidR="00C24319" w:rsidRPr="00A20E22" w:rsidRDefault="00C24319" w:rsidP="00584989">
      <w:pPr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 xml:space="preserve">ежемесячное социальное пособие на детей, потерявших кормильца, и на детей-инвалидов в размере 1 826 рублей в январе-июне 2019 года выплачено на 16,0 тыс. детей и 5,6 тыс. детей </w:t>
      </w:r>
      <w:proofErr w:type="spellStart"/>
      <w:r w:rsidRPr="00A20E22">
        <w:rPr>
          <w:sz w:val="26"/>
          <w:szCs w:val="26"/>
        </w:rPr>
        <w:t>соответвенно</w:t>
      </w:r>
      <w:proofErr w:type="spellEnd"/>
      <w:r w:rsidRPr="00A20E22">
        <w:rPr>
          <w:sz w:val="26"/>
          <w:szCs w:val="26"/>
        </w:rPr>
        <w:t xml:space="preserve">;             </w:t>
      </w:r>
    </w:p>
    <w:p w:rsidR="00C24319" w:rsidRPr="00A20E22" w:rsidRDefault="00C24319" w:rsidP="00584989">
      <w:pPr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>ежемесячное пособие многодетным семьям в размере 570 рублей выплачено 30,4 тыс. гражданам на 93,2 тыс. детей.</w:t>
      </w:r>
    </w:p>
    <w:p w:rsidR="00C24319" w:rsidRPr="00A20E22" w:rsidRDefault="00C24319" w:rsidP="00584989">
      <w:pPr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 xml:space="preserve">Социальное обслуживание в учреждениях государственной системы социальных служб автономного округа осуществляется по государственным стандартам (10 стандартов Российской Федерации, 4 стандарта Ханты-Мансийского автономного округа </w:t>
      </w:r>
      <w:proofErr w:type="gramStart"/>
      <w:r w:rsidRPr="00A20E22">
        <w:rPr>
          <w:sz w:val="26"/>
          <w:szCs w:val="26"/>
        </w:rPr>
        <w:t>–Ю</w:t>
      </w:r>
      <w:proofErr w:type="gramEnd"/>
      <w:r w:rsidRPr="00A20E22">
        <w:rPr>
          <w:sz w:val="26"/>
          <w:szCs w:val="26"/>
        </w:rPr>
        <w:t xml:space="preserve">гры). </w:t>
      </w:r>
    </w:p>
    <w:p w:rsidR="00C24319" w:rsidRPr="00A20E22" w:rsidRDefault="00C24319" w:rsidP="00584989">
      <w:pPr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 xml:space="preserve">На </w:t>
      </w:r>
      <w:r w:rsidR="00584989">
        <w:rPr>
          <w:sz w:val="26"/>
          <w:szCs w:val="26"/>
        </w:rPr>
        <w:t xml:space="preserve">1 июля </w:t>
      </w:r>
      <w:r w:rsidRPr="00A20E22">
        <w:rPr>
          <w:sz w:val="26"/>
          <w:szCs w:val="26"/>
        </w:rPr>
        <w:t>2019 года численность детей-сирот и детей, оставшихся без попечени</w:t>
      </w:r>
      <w:r w:rsidR="00122206">
        <w:rPr>
          <w:sz w:val="26"/>
          <w:szCs w:val="26"/>
        </w:rPr>
        <w:t>я родителей, в Югре составила 7962 ребенка, из них 7</w:t>
      </w:r>
      <w:r w:rsidRPr="00A20E22">
        <w:rPr>
          <w:sz w:val="26"/>
          <w:szCs w:val="26"/>
        </w:rPr>
        <w:t xml:space="preserve">920 детей воспитываются </w:t>
      </w:r>
      <w:r w:rsidR="00122206">
        <w:rPr>
          <w:sz w:val="26"/>
          <w:szCs w:val="26"/>
        </w:rPr>
        <w:t>в семьях граждан, в том числе 2</w:t>
      </w:r>
      <w:r w:rsidRPr="00A20E22">
        <w:rPr>
          <w:sz w:val="26"/>
          <w:szCs w:val="26"/>
        </w:rPr>
        <w:t>480 детей усыновлены, что составляет 99,5 % от общего числа детей-сирот и детей, оставшихся без попечения родителей.</w:t>
      </w:r>
    </w:p>
    <w:p w:rsidR="00C24319" w:rsidRPr="00A20E22" w:rsidRDefault="00C24319" w:rsidP="00C24319">
      <w:pPr>
        <w:ind w:firstLine="709"/>
        <w:jc w:val="both"/>
        <w:rPr>
          <w:sz w:val="28"/>
          <w:szCs w:val="28"/>
        </w:rPr>
      </w:pPr>
    </w:p>
    <w:p w:rsidR="009A3419" w:rsidRPr="00A20E22" w:rsidRDefault="009A3419" w:rsidP="001B58EA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eastAsiaTheme="majorEastAsia" w:hAnsi="Times New Roman"/>
          <w:b w:val="0"/>
          <w:sz w:val="26"/>
          <w:szCs w:val="26"/>
        </w:rPr>
      </w:pPr>
      <w:bookmarkStart w:id="27" w:name="_Toc10912562"/>
      <w:r w:rsidRPr="00A20E22">
        <w:rPr>
          <w:rFonts w:ascii="Times New Roman" w:eastAsiaTheme="majorEastAsia" w:hAnsi="Times New Roman"/>
          <w:b w:val="0"/>
          <w:sz w:val="26"/>
          <w:szCs w:val="26"/>
        </w:rPr>
        <w:t>Внешнеэкономическая деятельность</w:t>
      </w:r>
      <w:bookmarkEnd w:id="27"/>
    </w:p>
    <w:p w:rsidR="009A3419" w:rsidRPr="00A20E22" w:rsidRDefault="009A3419" w:rsidP="009A3419">
      <w:pPr>
        <w:widowControl w:val="0"/>
        <w:ind w:firstLine="709"/>
        <w:jc w:val="both"/>
        <w:rPr>
          <w:sz w:val="26"/>
          <w:szCs w:val="26"/>
        </w:rPr>
      </w:pPr>
    </w:p>
    <w:p w:rsidR="00966650" w:rsidRPr="00A20E22" w:rsidRDefault="00966650" w:rsidP="00966650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A20E22">
        <w:rPr>
          <w:sz w:val="26"/>
          <w:szCs w:val="26"/>
        </w:rPr>
        <w:t xml:space="preserve">Внешнеторговый оборот автономного округа </w:t>
      </w:r>
      <w:r w:rsidR="00904C5E" w:rsidRPr="00A20E22">
        <w:rPr>
          <w:sz w:val="26"/>
          <w:szCs w:val="26"/>
        </w:rPr>
        <w:t>за период январь</w:t>
      </w:r>
      <w:r w:rsidRPr="00A20E22">
        <w:rPr>
          <w:sz w:val="26"/>
          <w:szCs w:val="26"/>
        </w:rPr>
        <w:t>-</w:t>
      </w:r>
      <w:r w:rsidR="007D32D9" w:rsidRPr="00A20E22">
        <w:rPr>
          <w:sz w:val="26"/>
          <w:szCs w:val="26"/>
        </w:rPr>
        <w:t>июнь</w:t>
      </w:r>
      <w:r w:rsidR="006658CD" w:rsidRPr="00A20E22">
        <w:rPr>
          <w:sz w:val="26"/>
          <w:szCs w:val="26"/>
        </w:rPr>
        <w:t xml:space="preserve"> 2019</w:t>
      </w:r>
      <w:r w:rsidRPr="00A20E22">
        <w:rPr>
          <w:sz w:val="26"/>
          <w:szCs w:val="26"/>
        </w:rPr>
        <w:t xml:space="preserve"> года составил </w:t>
      </w:r>
      <w:r w:rsidR="007D32D9" w:rsidRPr="00A20E22">
        <w:rPr>
          <w:sz w:val="26"/>
          <w:szCs w:val="26"/>
        </w:rPr>
        <w:t>10325,7</w:t>
      </w:r>
      <w:r w:rsidR="00904C5E" w:rsidRPr="00A20E22">
        <w:rPr>
          <w:sz w:val="26"/>
          <w:szCs w:val="26"/>
        </w:rPr>
        <w:t xml:space="preserve"> </w:t>
      </w:r>
      <w:r w:rsidRPr="00A20E22">
        <w:rPr>
          <w:sz w:val="26"/>
          <w:szCs w:val="26"/>
        </w:rPr>
        <w:t>млн. долларов США</w:t>
      </w:r>
      <w:r w:rsidR="00904C5E" w:rsidRPr="00A20E22">
        <w:rPr>
          <w:rStyle w:val="a8"/>
          <w:sz w:val="26"/>
          <w:szCs w:val="26"/>
        </w:rPr>
        <w:footnoteReference w:id="46"/>
      </w:r>
      <w:r w:rsidRPr="00A20E22">
        <w:rPr>
          <w:sz w:val="26"/>
          <w:szCs w:val="26"/>
        </w:rPr>
        <w:t xml:space="preserve">, что на </w:t>
      </w:r>
      <w:r w:rsidR="007D32D9" w:rsidRPr="00A20E22">
        <w:rPr>
          <w:sz w:val="26"/>
          <w:szCs w:val="26"/>
        </w:rPr>
        <w:t>3,8</w:t>
      </w:r>
      <w:r w:rsidR="00EB4E0D" w:rsidRPr="00A20E22">
        <w:rPr>
          <w:sz w:val="26"/>
          <w:szCs w:val="26"/>
        </w:rPr>
        <w:t xml:space="preserve"> </w:t>
      </w:r>
      <w:r w:rsidR="00904C5E" w:rsidRPr="00A20E22">
        <w:rPr>
          <w:sz w:val="26"/>
          <w:szCs w:val="26"/>
        </w:rPr>
        <w:t>%</w:t>
      </w:r>
      <w:r w:rsidRPr="00A20E22">
        <w:rPr>
          <w:sz w:val="26"/>
          <w:szCs w:val="26"/>
        </w:rPr>
        <w:t xml:space="preserve"> превышает уровень показателя соответствующего периода 201</w:t>
      </w:r>
      <w:r w:rsidR="006658CD" w:rsidRPr="00A20E22">
        <w:rPr>
          <w:sz w:val="26"/>
          <w:szCs w:val="26"/>
        </w:rPr>
        <w:t>8</w:t>
      </w:r>
      <w:r w:rsidRPr="00A20E22">
        <w:rPr>
          <w:sz w:val="26"/>
          <w:szCs w:val="26"/>
        </w:rPr>
        <w:t xml:space="preserve"> года. </w:t>
      </w:r>
      <w:r w:rsidR="000319F1" w:rsidRPr="00A20E22">
        <w:rPr>
          <w:sz w:val="26"/>
          <w:szCs w:val="26"/>
        </w:rPr>
        <w:t>Основной объём от общего внешнеторгового оборота Югры приходится н</w:t>
      </w:r>
      <w:r w:rsidRPr="00A20E22">
        <w:rPr>
          <w:sz w:val="26"/>
          <w:szCs w:val="26"/>
        </w:rPr>
        <w:t xml:space="preserve">а страны дальнего зарубежья </w:t>
      </w:r>
      <w:r w:rsidR="000319F1" w:rsidRPr="00A20E22">
        <w:rPr>
          <w:sz w:val="26"/>
          <w:szCs w:val="26"/>
        </w:rPr>
        <w:t>–</w:t>
      </w:r>
      <w:r w:rsidR="006658CD" w:rsidRPr="00A20E22">
        <w:rPr>
          <w:sz w:val="26"/>
          <w:szCs w:val="26"/>
        </w:rPr>
        <w:t xml:space="preserve"> </w:t>
      </w:r>
      <w:r w:rsidR="007D32D9" w:rsidRPr="00A20E22">
        <w:rPr>
          <w:sz w:val="26"/>
          <w:szCs w:val="26"/>
        </w:rPr>
        <w:t>95,1</w:t>
      </w:r>
      <w:r w:rsidR="00245E43">
        <w:rPr>
          <w:sz w:val="26"/>
          <w:szCs w:val="26"/>
        </w:rPr>
        <w:t> </w:t>
      </w:r>
      <w:r w:rsidR="000319F1" w:rsidRPr="00A20E22">
        <w:rPr>
          <w:sz w:val="26"/>
          <w:szCs w:val="26"/>
        </w:rPr>
        <w:t>%</w:t>
      </w:r>
      <w:r w:rsidRPr="00A20E22">
        <w:rPr>
          <w:sz w:val="26"/>
          <w:szCs w:val="26"/>
        </w:rPr>
        <w:t>.</w:t>
      </w:r>
    </w:p>
    <w:p w:rsidR="00966650" w:rsidRPr="00A20E22" w:rsidRDefault="00966650" w:rsidP="00966650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A20E22">
        <w:rPr>
          <w:sz w:val="26"/>
          <w:szCs w:val="26"/>
        </w:rPr>
        <w:t xml:space="preserve">Характерной чертой внешней торговли является положительное сальдо торгового баланса – </w:t>
      </w:r>
      <w:r w:rsidR="007D32D9" w:rsidRPr="00A20E22">
        <w:rPr>
          <w:sz w:val="26"/>
          <w:szCs w:val="26"/>
        </w:rPr>
        <w:t>9967,3</w:t>
      </w:r>
      <w:r w:rsidRPr="00A20E22">
        <w:rPr>
          <w:sz w:val="26"/>
          <w:szCs w:val="26"/>
        </w:rPr>
        <w:t xml:space="preserve"> млн. долларов США. </w:t>
      </w:r>
    </w:p>
    <w:p w:rsidR="00966650" w:rsidRPr="00A20E22" w:rsidRDefault="00966650" w:rsidP="00966650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A20E22">
        <w:rPr>
          <w:sz w:val="26"/>
          <w:szCs w:val="26"/>
        </w:rPr>
        <w:t xml:space="preserve">Югра </w:t>
      </w:r>
      <w:proofErr w:type="gramStart"/>
      <w:r w:rsidRPr="00A20E22">
        <w:rPr>
          <w:sz w:val="26"/>
          <w:szCs w:val="26"/>
        </w:rPr>
        <w:t xml:space="preserve">является экспортно-ориентированным регионом и в общем объеме </w:t>
      </w:r>
      <w:r w:rsidRPr="00A20E22">
        <w:rPr>
          <w:sz w:val="26"/>
          <w:szCs w:val="26"/>
        </w:rPr>
        <w:lastRenderedPageBreak/>
        <w:t xml:space="preserve">внешнеторгового оборота </w:t>
      </w:r>
      <w:r w:rsidR="00904C5E" w:rsidRPr="00A20E22">
        <w:rPr>
          <w:sz w:val="26"/>
          <w:szCs w:val="26"/>
        </w:rPr>
        <w:t>на долю экспорта приходится</w:t>
      </w:r>
      <w:proofErr w:type="gramEnd"/>
      <w:r w:rsidR="00904C5E" w:rsidRPr="00A20E22">
        <w:rPr>
          <w:sz w:val="26"/>
          <w:szCs w:val="26"/>
        </w:rPr>
        <w:t xml:space="preserve"> </w:t>
      </w:r>
      <w:r w:rsidR="00E86945" w:rsidRPr="00A20E22">
        <w:rPr>
          <w:sz w:val="26"/>
          <w:szCs w:val="26"/>
        </w:rPr>
        <w:t>98,</w:t>
      </w:r>
      <w:r w:rsidR="00EB4E0D" w:rsidRPr="00A20E22">
        <w:rPr>
          <w:sz w:val="26"/>
          <w:szCs w:val="26"/>
        </w:rPr>
        <w:t>3</w:t>
      </w:r>
      <w:r w:rsidR="003C369E" w:rsidRPr="00A20E22">
        <w:rPr>
          <w:sz w:val="26"/>
          <w:szCs w:val="26"/>
        </w:rPr>
        <w:t xml:space="preserve"> </w:t>
      </w:r>
      <w:r w:rsidRPr="00A20E22">
        <w:rPr>
          <w:sz w:val="26"/>
          <w:szCs w:val="26"/>
        </w:rPr>
        <w:t xml:space="preserve">%, на долю импорта – </w:t>
      </w:r>
      <w:r w:rsidR="00EB4E0D" w:rsidRPr="00A20E22">
        <w:rPr>
          <w:sz w:val="26"/>
          <w:szCs w:val="26"/>
        </w:rPr>
        <w:t>1,7</w:t>
      </w:r>
      <w:r w:rsidRPr="00A20E22">
        <w:rPr>
          <w:sz w:val="26"/>
          <w:szCs w:val="26"/>
        </w:rPr>
        <w:t xml:space="preserve"> %. Коэффициент покрытия </w:t>
      </w:r>
      <w:r w:rsidR="004D1800" w:rsidRPr="00A20E22">
        <w:rPr>
          <w:sz w:val="26"/>
          <w:szCs w:val="26"/>
        </w:rPr>
        <w:t>импорта экспортом превышает</w:t>
      </w:r>
      <w:r w:rsidR="000319F1" w:rsidRPr="00A20E22">
        <w:rPr>
          <w:sz w:val="26"/>
          <w:szCs w:val="26"/>
        </w:rPr>
        <w:t xml:space="preserve"> </w:t>
      </w:r>
      <w:r w:rsidR="00673A11" w:rsidRPr="00A20E22">
        <w:rPr>
          <w:sz w:val="26"/>
          <w:szCs w:val="26"/>
        </w:rPr>
        <w:t>56,6</w:t>
      </w:r>
      <w:r w:rsidR="00EB4E0D" w:rsidRPr="00A20E22">
        <w:rPr>
          <w:sz w:val="26"/>
          <w:szCs w:val="26"/>
        </w:rPr>
        <w:t xml:space="preserve"> </w:t>
      </w:r>
      <w:r w:rsidRPr="00A20E22">
        <w:rPr>
          <w:sz w:val="26"/>
          <w:szCs w:val="26"/>
        </w:rPr>
        <w:t>раз</w:t>
      </w:r>
      <w:r w:rsidR="006658CD" w:rsidRPr="00A20E22">
        <w:rPr>
          <w:sz w:val="26"/>
          <w:szCs w:val="26"/>
        </w:rPr>
        <w:t>а</w:t>
      </w:r>
      <w:r w:rsidRPr="00A20E22">
        <w:rPr>
          <w:sz w:val="26"/>
          <w:szCs w:val="26"/>
        </w:rPr>
        <w:t>.</w:t>
      </w:r>
    </w:p>
    <w:p w:rsidR="00966650" w:rsidRPr="00A20E22" w:rsidRDefault="00966650" w:rsidP="00966650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A20E22">
        <w:rPr>
          <w:sz w:val="26"/>
          <w:szCs w:val="26"/>
        </w:rPr>
        <w:t>Экспорт товаров и услуг в январе-</w:t>
      </w:r>
      <w:r w:rsidR="00673A11" w:rsidRPr="00A20E22">
        <w:rPr>
          <w:sz w:val="26"/>
          <w:szCs w:val="26"/>
        </w:rPr>
        <w:t>июне</w:t>
      </w:r>
      <w:r w:rsidR="006658CD" w:rsidRPr="00A20E22">
        <w:rPr>
          <w:sz w:val="26"/>
          <w:szCs w:val="26"/>
        </w:rPr>
        <w:t xml:space="preserve"> 2019</w:t>
      </w:r>
      <w:r w:rsidRPr="00A20E22">
        <w:rPr>
          <w:sz w:val="26"/>
          <w:szCs w:val="26"/>
        </w:rPr>
        <w:t xml:space="preserve"> года по отношению к соответствующему периоду 201</w:t>
      </w:r>
      <w:r w:rsidR="006658CD" w:rsidRPr="00A20E22">
        <w:rPr>
          <w:sz w:val="26"/>
          <w:szCs w:val="26"/>
        </w:rPr>
        <w:t>8</w:t>
      </w:r>
      <w:r w:rsidRPr="00A20E22">
        <w:rPr>
          <w:sz w:val="26"/>
          <w:szCs w:val="26"/>
        </w:rPr>
        <w:t xml:space="preserve"> года </w:t>
      </w:r>
      <w:proofErr w:type="gramStart"/>
      <w:r w:rsidRPr="00A20E22">
        <w:rPr>
          <w:sz w:val="26"/>
          <w:szCs w:val="26"/>
        </w:rPr>
        <w:t xml:space="preserve">увеличился на </w:t>
      </w:r>
      <w:r w:rsidR="00673A11" w:rsidRPr="00A20E22">
        <w:rPr>
          <w:sz w:val="26"/>
          <w:szCs w:val="26"/>
        </w:rPr>
        <w:t>5,6</w:t>
      </w:r>
      <w:r w:rsidRPr="00A20E22">
        <w:rPr>
          <w:sz w:val="26"/>
          <w:szCs w:val="26"/>
        </w:rPr>
        <w:t xml:space="preserve"> % и составил</w:t>
      </w:r>
      <w:proofErr w:type="gramEnd"/>
      <w:r w:rsidRPr="00A20E22">
        <w:rPr>
          <w:sz w:val="26"/>
          <w:szCs w:val="26"/>
        </w:rPr>
        <w:t xml:space="preserve"> </w:t>
      </w:r>
      <w:r w:rsidR="00673A11" w:rsidRPr="00A20E22">
        <w:rPr>
          <w:sz w:val="26"/>
          <w:szCs w:val="26"/>
        </w:rPr>
        <w:t xml:space="preserve">10146,5 </w:t>
      </w:r>
      <w:r w:rsidR="00AB728C" w:rsidRPr="00A20E22">
        <w:rPr>
          <w:sz w:val="26"/>
          <w:szCs w:val="26"/>
        </w:rPr>
        <w:t xml:space="preserve">млн. долларов США, при этом </w:t>
      </w:r>
      <w:r w:rsidR="00673A11" w:rsidRPr="00A20E22">
        <w:rPr>
          <w:sz w:val="26"/>
          <w:szCs w:val="26"/>
        </w:rPr>
        <w:t>95,2</w:t>
      </w:r>
      <w:r w:rsidR="003C369E" w:rsidRPr="00A20E22">
        <w:rPr>
          <w:sz w:val="26"/>
          <w:szCs w:val="26"/>
        </w:rPr>
        <w:t xml:space="preserve"> </w:t>
      </w:r>
      <w:r w:rsidRPr="00A20E22">
        <w:rPr>
          <w:sz w:val="26"/>
          <w:szCs w:val="26"/>
        </w:rPr>
        <w:t xml:space="preserve">% вывозимых товаров поступало в страны дальнего зарубежья. Основные торговые партнеры по </w:t>
      </w:r>
      <w:r w:rsidRPr="007423F5">
        <w:rPr>
          <w:sz w:val="26"/>
          <w:szCs w:val="26"/>
        </w:rPr>
        <w:t xml:space="preserve">экспорту: </w:t>
      </w:r>
      <w:r w:rsidR="009C1364" w:rsidRPr="007423F5">
        <w:rPr>
          <w:sz w:val="26"/>
          <w:szCs w:val="26"/>
        </w:rPr>
        <w:t xml:space="preserve">Нидерланды, </w:t>
      </w:r>
      <w:r w:rsidR="007423F5" w:rsidRPr="007423F5">
        <w:rPr>
          <w:sz w:val="26"/>
          <w:szCs w:val="26"/>
        </w:rPr>
        <w:t>Китайская Народная Республика</w:t>
      </w:r>
      <w:r w:rsidRPr="007423F5">
        <w:rPr>
          <w:sz w:val="26"/>
          <w:szCs w:val="26"/>
        </w:rPr>
        <w:t xml:space="preserve">, Германия, </w:t>
      </w:r>
      <w:r w:rsidR="009C1364" w:rsidRPr="007423F5">
        <w:rPr>
          <w:sz w:val="26"/>
          <w:szCs w:val="26"/>
        </w:rPr>
        <w:t xml:space="preserve">Турция, </w:t>
      </w:r>
      <w:r w:rsidR="00673A11" w:rsidRPr="007423F5">
        <w:rPr>
          <w:sz w:val="26"/>
          <w:szCs w:val="26"/>
        </w:rPr>
        <w:t>Япония,</w:t>
      </w:r>
      <w:r w:rsidR="00EB4E0D" w:rsidRPr="007423F5">
        <w:rPr>
          <w:sz w:val="26"/>
          <w:szCs w:val="26"/>
        </w:rPr>
        <w:t xml:space="preserve"> Италия</w:t>
      </w:r>
      <w:r w:rsidR="00673A11" w:rsidRPr="007423F5">
        <w:rPr>
          <w:sz w:val="26"/>
          <w:szCs w:val="26"/>
        </w:rPr>
        <w:t>, Польша, Великобритания</w:t>
      </w:r>
      <w:r w:rsidRPr="007423F5">
        <w:rPr>
          <w:sz w:val="26"/>
          <w:szCs w:val="26"/>
        </w:rPr>
        <w:t>.</w:t>
      </w:r>
    </w:p>
    <w:p w:rsidR="00966650" w:rsidRPr="00A20E22" w:rsidRDefault="00966650" w:rsidP="00966650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A20E22">
        <w:rPr>
          <w:sz w:val="26"/>
          <w:szCs w:val="26"/>
        </w:rPr>
        <w:t xml:space="preserve">Основные виды экспортируемых товаров:   </w:t>
      </w:r>
    </w:p>
    <w:p w:rsidR="00966650" w:rsidRPr="00A20E22" w:rsidRDefault="00966650" w:rsidP="007423F5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A20E22">
        <w:rPr>
          <w:sz w:val="26"/>
          <w:szCs w:val="26"/>
        </w:rPr>
        <w:t>минеральные продукты, в т</w:t>
      </w:r>
      <w:r w:rsidR="004D1800" w:rsidRPr="00A20E22">
        <w:rPr>
          <w:sz w:val="26"/>
          <w:szCs w:val="26"/>
        </w:rPr>
        <w:t>ом числе</w:t>
      </w:r>
      <w:r w:rsidRPr="00A20E22">
        <w:rPr>
          <w:sz w:val="26"/>
          <w:szCs w:val="26"/>
        </w:rPr>
        <w:t xml:space="preserve"> топливно-энергетические товары; </w:t>
      </w:r>
    </w:p>
    <w:p w:rsidR="00966650" w:rsidRPr="00A20E22" w:rsidRDefault="00966650" w:rsidP="007423F5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A20E22">
        <w:rPr>
          <w:sz w:val="26"/>
          <w:szCs w:val="26"/>
        </w:rPr>
        <w:t>древесина и изделия из нее;</w:t>
      </w:r>
    </w:p>
    <w:p w:rsidR="00966650" w:rsidRPr="00A20E22" w:rsidRDefault="00966650" w:rsidP="007423F5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A20E22">
        <w:rPr>
          <w:sz w:val="26"/>
          <w:szCs w:val="26"/>
        </w:rPr>
        <w:t>машины, оборудование и транспортные средства.</w:t>
      </w:r>
    </w:p>
    <w:p w:rsidR="00966650" w:rsidRPr="00A20E22" w:rsidRDefault="00966650" w:rsidP="00966650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A20E22">
        <w:rPr>
          <w:sz w:val="26"/>
          <w:szCs w:val="26"/>
        </w:rPr>
        <w:t>Импорт товаров и услуг в январе-</w:t>
      </w:r>
      <w:r w:rsidR="00673A11" w:rsidRPr="00A20E22">
        <w:rPr>
          <w:sz w:val="26"/>
          <w:szCs w:val="26"/>
        </w:rPr>
        <w:t>июне</w:t>
      </w:r>
      <w:r w:rsidR="006658CD" w:rsidRPr="00A20E22">
        <w:rPr>
          <w:sz w:val="26"/>
          <w:szCs w:val="26"/>
        </w:rPr>
        <w:t xml:space="preserve"> 2019</w:t>
      </w:r>
      <w:r w:rsidRPr="00A20E22">
        <w:rPr>
          <w:sz w:val="26"/>
          <w:szCs w:val="26"/>
        </w:rPr>
        <w:t xml:space="preserve"> года по отношению к соответствующему периоду 201</w:t>
      </w:r>
      <w:r w:rsidR="006658CD" w:rsidRPr="00A20E22">
        <w:rPr>
          <w:sz w:val="26"/>
          <w:szCs w:val="26"/>
        </w:rPr>
        <w:t>8</w:t>
      </w:r>
      <w:r w:rsidRPr="00A20E22">
        <w:rPr>
          <w:sz w:val="26"/>
          <w:szCs w:val="26"/>
        </w:rPr>
        <w:t xml:space="preserve"> года </w:t>
      </w:r>
      <w:r w:rsidR="00AB728C" w:rsidRPr="00A20E22">
        <w:rPr>
          <w:sz w:val="26"/>
          <w:szCs w:val="26"/>
        </w:rPr>
        <w:t>снизился</w:t>
      </w:r>
      <w:r w:rsidRPr="00A20E22">
        <w:rPr>
          <w:sz w:val="26"/>
          <w:szCs w:val="26"/>
        </w:rPr>
        <w:t xml:space="preserve"> на </w:t>
      </w:r>
      <w:r w:rsidR="00673A11" w:rsidRPr="00A20E22">
        <w:rPr>
          <w:sz w:val="26"/>
          <w:szCs w:val="26"/>
        </w:rPr>
        <w:t>46,1</w:t>
      </w:r>
      <w:r w:rsidR="003C369E" w:rsidRPr="00A20E22">
        <w:rPr>
          <w:sz w:val="26"/>
          <w:szCs w:val="26"/>
        </w:rPr>
        <w:t xml:space="preserve"> </w:t>
      </w:r>
      <w:r w:rsidRPr="00A20E22">
        <w:rPr>
          <w:sz w:val="26"/>
          <w:szCs w:val="26"/>
        </w:rPr>
        <w:t xml:space="preserve">% до </w:t>
      </w:r>
      <w:r w:rsidR="00673A11" w:rsidRPr="00A20E22">
        <w:rPr>
          <w:sz w:val="26"/>
          <w:szCs w:val="26"/>
        </w:rPr>
        <w:t>179,2</w:t>
      </w:r>
      <w:r w:rsidRPr="00A20E22">
        <w:rPr>
          <w:sz w:val="26"/>
          <w:szCs w:val="26"/>
        </w:rPr>
        <w:t xml:space="preserve"> млн. долларов США, при этом доля ввозимых товаров и</w:t>
      </w:r>
      <w:r w:rsidR="00AB728C" w:rsidRPr="00A20E22">
        <w:rPr>
          <w:sz w:val="26"/>
          <w:szCs w:val="26"/>
        </w:rPr>
        <w:t xml:space="preserve">з стран дальнего зарубежья – </w:t>
      </w:r>
      <w:r w:rsidR="00673A11" w:rsidRPr="00A20E22">
        <w:rPr>
          <w:sz w:val="26"/>
          <w:szCs w:val="26"/>
        </w:rPr>
        <w:t>88,9</w:t>
      </w:r>
      <w:r w:rsidR="003C369E" w:rsidRPr="00A20E22">
        <w:rPr>
          <w:sz w:val="26"/>
          <w:szCs w:val="26"/>
        </w:rPr>
        <w:t xml:space="preserve"> </w:t>
      </w:r>
      <w:r w:rsidRPr="00A20E22">
        <w:rPr>
          <w:sz w:val="26"/>
          <w:szCs w:val="26"/>
        </w:rPr>
        <w:t xml:space="preserve">%. Основными торговыми партнерами по импорту являлись </w:t>
      </w:r>
      <w:r w:rsidRPr="007423F5">
        <w:rPr>
          <w:sz w:val="26"/>
          <w:szCs w:val="26"/>
        </w:rPr>
        <w:t>С</w:t>
      </w:r>
      <w:r w:rsidR="007423F5" w:rsidRPr="007423F5">
        <w:rPr>
          <w:sz w:val="26"/>
          <w:szCs w:val="26"/>
        </w:rPr>
        <w:t>оединённые Штаты Америки и Китайская Народная Республика</w:t>
      </w:r>
      <w:r w:rsidRPr="00A20E22">
        <w:rPr>
          <w:sz w:val="26"/>
          <w:szCs w:val="26"/>
        </w:rPr>
        <w:t xml:space="preserve">. </w:t>
      </w:r>
    </w:p>
    <w:p w:rsidR="00966650" w:rsidRPr="00A20E22" w:rsidRDefault="00966650" w:rsidP="00966650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A20E22">
        <w:rPr>
          <w:sz w:val="26"/>
          <w:szCs w:val="26"/>
        </w:rPr>
        <w:t>Основные товарные группы, ввозимые в Югру:</w:t>
      </w:r>
    </w:p>
    <w:p w:rsidR="00966650" w:rsidRPr="00A20E22" w:rsidRDefault="00966650" w:rsidP="007423F5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A20E22">
        <w:rPr>
          <w:sz w:val="26"/>
          <w:szCs w:val="26"/>
        </w:rPr>
        <w:t>машины, оборудование и транспортные средства;</w:t>
      </w:r>
    </w:p>
    <w:p w:rsidR="00966650" w:rsidRPr="00A20E22" w:rsidRDefault="00966650" w:rsidP="007423F5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A20E22">
        <w:rPr>
          <w:sz w:val="26"/>
          <w:szCs w:val="26"/>
        </w:rPr>
        <w:t>металлы и изделия из них;</w:t>
      </w:r>
    </w:p>
    <w:p w:rsidR="00966650" w:rsidRPr="00A20E22" w:rsidRDefault="00966650" w:rsidP="007423F5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A20E22">
        <w:rPr>
          <w:sz w:val="26"/>
          <w:szCs w:val="26"/>
        </w:rPr>
        <w:t>продукция хи</w:t>
      </w:r>
      <w:r w:rsidR="00FA16CA" w:rsidRPr="00A20E22">
        <w:rPr>
          <w:sz w:val="26"/>
          <w:szCs w:val="26"/>
        </w:rPr>
        <w:t>мической промышленности, каучук;</w:t>
      </w:r>
    </w:p>
    <w:p w:rsidR="00673A11" w:rsidRPr="00A20E22" w:rsidRDefault="00FA16CA" w:rsidP="007423F5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A20E22">
        <w:rPr>
          <w:sz w:val="26"/>
          <w:szCs w:val="26"/>
        </w:rPr>
        <w:t>текстиль, текстильные изделия и обувь</w:t>
      </w:r>
      <w:r w:rsidR="00673A11" w:rsidRPr="00A20E22">
        <w:rPr>
          <w:sz w:val="26"/>
          <w:szCs w:val="26"/>
        </w:rPr>
        <w:t>;</w:t>
      </w:r>
    </w:p>
    <w:p w:rsidR="00FA16CA" w:rsidRPr="00A20E22" w:rsidRDefault="00673A11" w:rsidP="007423F5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A20E22">
        <w:rPr>
          <w:sz w:val="26"/>
          <w:szCs w:val="26"/>
        </w:rPr>
        <w:t>продовольственные товары и сельскохозяйственное сырье</w:t>
      </w:r>
      <w:r w:rsidR="00FA16CA" w:rsidRPr="00A20E22">
        <w:rPr>
          <w:sz w:val="26"/>
          <w:szCs w:val="26"/>
        </w:rPr>
        <w:t>.</w:t>
      </w:r>
    </w:p>
    <w:p w:rsidR="009A3419" w:rsidRPr="007423F5" w:rsidRDefault="009A3419" w:rsidP="007423F5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9A3419" w:rsidRPr="00A20E22" w:rsidRDefault="009A3419" w:rsidP="001B58EA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eastAsiaTheme="majorEastAsia" w:hAnsi="Times New Roman"/>
          <w:b w:val="0"/>
          <w:sz w:val="26"/>
          <w:szCs w:val="26"/>
        </w:rPr>
      </w:pPr>
      <w:bookmarkStart w:id="28" w:name="_Toc10912563"/>
      <w:r w:rsidRPr="00A20E22">
        <w:rPr>
          <w:rFonts w:ascii="Times New Roman" w:eastAsiaTheme="majorEastAsia" w:hAnsi="Times New Roman"/>
          <w:b w:val="0"/>
          <w:sz w:val="26"/>
          <w:szCs w:val="26"/>
        </w:rPr>
        <w:t>Охрана окружающей среды</w:t>
      </w:r>
      <w:bookmarkEnd w:id="28"/>
    </w:p>
    <w:p w:rsidR="009A3419" w:rsidRPr="00A20E22" w:rsidRDefault="009A3419" w:rsidP="009A3419">
      <w:pPr>
        <w:widowControl w:val="0"/>
        <w:ind w:firstLine="709"/>
        <w:jc w:val="center"/>
        <w:rPr>
          <w:sz w:val="26"/>
          <w:szCs w:val="26"/>
        </w:rPr>
      </w:pPr>
    </w:p>
    <w:p w:rsidR="00CE705A" w:rsidRPr="007423F5" w:rsidRDefault="00CE705A" w:rsidP="00CE705A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A20E22">
        <w:rPr>
          <w:sz w:val="26"/>
          <w:szCs w:val="26"/>
        </w:rPr>
        <w:t xml:space="preserve">В целях развития на территории автономного округа технологий по сортировке и переработке отходов осуществляется проектирование трёх комплексных межмуниципальных полигонов твердых коммунальных отходов общей мощностью 305 тыс. тонн (для городов Нижневартовск и Мегион, поселений </w:t>
      </w:r>
      <w:proofErr w:type="spellStart"/>
      <w:r w:rsidRPr="00A20E22">
        <w:rPr>
          <w:sz w:val="26"/>
          <w:szCs w:val="26"/>
        </w:rPr>
        <w:t>Нижневартовского</w:t>
      </w:r>
      <w:proofErr w:type="spellEnd"/>
      <w:r w:rsidRPr="00A20E22">
        <w:rPr>
          <w:sz w:val="26"/>
          <w:szCs w:val="26"/>
        </w:rPr>
        <w:t xml:space="preserve"> района; для городов Нефтеюганск и Пыть-Ях, поселений </w:t>
      </w:r>
      <w:proofErr w:type="spellStart"/>
      <w:r w:rsidRPr="00A20E22">
        <w:rPr>
          <w:sz w:val="26"/>
          <w:szCs w:val="26"/>
        </w:rPr>
        <w:t>Нефтеюганского</w:t>
      </w:r>
      <w:proofErr w:type="spellEnd"/>
      <w:r w:rsidRPr="00A20E22">
        <w:rPr>
          <w:sz w:val="26"/>
          <w:szCs w:val="26"/>
        </w:rPr>
        <w:t xml:space="preserve"> района; для города Нягань, поселений Октябрьского района). </w:t>
      </w:r>
      <w:r w:rsidRPr="007423F5">
        <w:rPr>
          <w:sz w:val="26"/>
          <w:szCs w:val="26"/>
        </w:rPr>
        <w:t>Строительство объектов планируется осуществить за счет привлеченных инвестиционных средств на условиях государственно-частного партнерства путем заключения концессионного соглашения. Ввод в эксплуатацию объектов позволит увеличить долю отходов, направленных на утилизацию, в общем объеме образованных отходов до 19</w:t>
      </w:r>
      <w:r w:rsidR="00E25FED" w:rsidRPr="007423F5">
        <w:rPr>
          <w:sz w:val="26"/>
          <w:szCs w:val="26"/>
        </w:rPr>
        <w:t xml:space="preserve">,0 </w:t>
      </w:r>
      <w:r w:rsidRPr="007423F5">
        <w:rPr>
          <w:sz w:val="26"/>
          <w:szCs w:val="26"/>
        </w:rPr>
        <w:t>%, при этом доля твердых коммунальных отходов, направленных на обработку в общем объеме образованных составит 60%.</w:t>
      </w:r>
    </w:p>
    <w:p w:rsidR="00CE705A" w:rsidRPr="00A20E22" w:rsidRDefault="00CE705A" w:rsidP="00CE705A">
      <w:pPr>
        <w:ind w:firstLine="709"/>
        <w:jc w:val="both"/>
        <w:rPr>
          <w:sz w:val="26"/>
          <w:szCs w:val="26"/>
        </w:rPr>
      </w:pPr>
      <w:r w:rsidRPr="007423F5">
        <w:rPr>
          <w:sz w:val="26"/>
          <w:szCs w:val="26"/>
        </w:rPr>
        <w:t>Продолжается реализация подписанного</w:t>
      </w:r>
      <w:r w:rsidRPr="00A20E22">
        <w:rPr>
          <w:sz w:val="26"/>
          <w:szCs w:val="26"/>
        </w:rPr>
        <w:t xml:space="preserve"> в декабре 2017 года концессионного соглашения о строительстве и эксплуатации комплексного межмуниципального полигона для размещения, обезвреживания и обработки твердых коммунальных отходов для городов Нефтеюганск и Пыть-Ях, поселений </w:t>
      </w:r>
      <w:proofErr w:type="spellStart"/>
      <w:r w:rsidRPr="00A20E22">
        <w:rPr>
          <w:sz w:val="26"/>
          <w:szCs w:val="26"/>
        </w:rPr>
        <w:t>Нефтеюганского</w:t>
      </w:r>
      <w:proofErr w:type="spellEnd"/>
      <w:r w:rsidRPr="00A20E22">
        <w:rPr>
          <w:sz w:val="26"/>
          <w:szCs w:val="26"/>
        </w:rPr>
        <w:t xml:space="preserve"> района.</w:t>
      </w:r>
      <w:r w:rsidRPr="00A20E22">
        <w:t xml:space="preserve"> </w:t>
      </w:r>
      <w:r w:rsidRPr="00A20E22">
        <w:rPr>
          <w:sz w:val="26"/>
          <w:szCs w:val="26"/>
        </w:rPr>
        <w:t xml:space="preserve">Планируемый срок завершения строительства объекта – 2020 год.  </w:t>
      </w:r>
    </w:p>
    <w:p w:rsidR="00CE705A" w:rsidRPr="00A20E22" w:rsidRDefault="00CE705A" w:rsidP="00CE705A">
      <w:pPr>
        <w:ind w:firstLine="709"/>
        <w:jc w:val="both"/>
        <w:rPr>
          <w:sz w:val="26"/>
          <w:szCs w:val="26"/>
        </w:rPr>
      </w:pPr>
      <w:r w:rsidRPr="00A20E22">
        <w:rPr>
          <w:sz w:val="26"/>
          <w:szCs w:val="26"/>
        </w:rPr>
        <w:t xml:space="preserve">Обеспечено взаимодействие с региональным отделением Общероссийского народного фронта «За Россию» в части исполнения поручения Президента Российской Федерации о реализации проекта «Генеральная уборка» (интерактивная «карта свалок»). </w:t>
      </w:r>
      <w:r w:rsidR="00F848CC" w:rsidRPr="00A20E22">
        <w:rPr>
          <w:sz w:val="26"/>
          <w:szCs w:val="26"/>
        </w:rPr>
        <w:t>За период январь-июнь</w:t>
      </w:r>
      <w:r w:rsidRPr="00A20E22">
        <w:rPr>
          <w:sz w:val="26"/>
          <w:szCs w:val="26"/>
        </w:rPr>
        <w:t xml:space="preserve"> 2019 года</w:t>
      </w:r>
      <w:r w:rsidRPr="00A20E22">
        <w:t xml:space="preserve"> </w:t>
      </w:r>
      <w:r w:rsidRPr="00A20E22">
        <w:rPr>
          <w:sz w:val="26"/>
          <w:szCs w:val="26"/>
        </w:rPr>
        <w:t xml:space="preserve">выявлено 249 мест несанкционированного размещения отходов общей площадью 9,9 га, </w:t>
      </w:r>
      <w:r w:rsidRPr="00A20E22">
        <w:rPr>
          <w:sz w:val="26"/>
          <w:szCs w:val="26"/>
        </w:rPr>
        <w:lastRenderedPageBreak/>
        <w:t xml:space="preserve">ликвидировано 123 места несанкционированного размещения отходов на площади 4,0 га. </w:t>
      </w:r>
    </w:p>
    <w:p w:rsidR="00CE705A" w:rsidRPr="00A20E22" w:rsidRDefault="00CE705A" w:rsidP="00CE705A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A20E22">
        <w:rPr>
          <w:sz w:val="26"/>
          <w:szCs w:val="26"/>
        </w:rPr>
        <w:t>За последние 5 лет объемы выбросов загрязняющих веществ в атмосферный воздух сокращены на 43,5 %, что является результатом эффективной реализации предприятиями программ по повышению уровня утилизации попутного нефтяного газа в рамках Соглашений о сотрудничестве.</w:t>
      </w:r>
    </w:p>
    <w:p w:rsidR="00CE705A" w:rsidRPr="007423F5" w:rsidRDefault="00CE705A" w:rsidP="00F848C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A20E22">
        <w:rPr>
          <w:sz w:val="26"/>
          <w:szCs w:val="26"/>
        </w:rPr>
        <w:t xml:space="preserve">Концентрации нефтепродуктов и хлоридов, являющихся приоритетными загрязнителями водотоков, за 5 лет снизились в несколько раз. </w:t>
      </w:r>
      <w:r w:rsidR="00F848CC" w:rsidRPr="00A20E22">
        <w:rPr>
          <w:sz w:val="26"/>
          <w:szCs w:val="26"/>
        </w:rPr>
        <w:t>Качество поверхностных вод автономного округа по результатам наблюдений в январе-июне 2019 года остается стабильным. С</w:t>
      </w:r>
      <w:r w:rsidRPr="00A20E22">
        <w:rPr>
          <w:sz w:val="26"/>
          <w:szCs w:val="26"/>
        </w:rPr>
        <w:t xml:space="preserve">реднее содержание нефтепродуктов и хлоридов во всех крупных </w:t>
      </w:r>
      <w:r w:rsidRPr="007423F5">
        <w:rPr>
          <w:sz w:val="26"/>
          <w:szCs w:val="26"/>
        </w:rPr>
        <w:t>реках осталось на уровне 2018 года: нефтепродуктов – 0,5-0,8 ПДК, хлоридов – 0,04-0,09 ПДК.</w:t>
      </w:r>
    </w:p>
    <w:p w:rsidR="00CE705A" w:rsidRPr="00A20E22" w:rsidRDefault="00CE705A" w:rsidP="00CE705A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proofErr w:type="spellStart"/>
      <w:r w:rsidRPr="007423F5">
        <w:rPr>
          <w:sz w:val="26"/>
          <w:szCs w:val="26"/>
        </w:rPr>
        <w:t>Природнадзором</w:t>
      </w:r>
      <w:proofErr w:type="spellEnd"/>
      <w:r w:rsidRPr="007423F5">
        <w:rPr>
          <w:sz w:val="26"/>
          <w:szCs w:val="26"/>
        </w:rPr>
        <w:t xml:space="preserve"> Югры осуществляется ведение Реестра загрязненных земель нефтью, нефтепродуктами, подтоварной водой. На </w:t>
      </w:r>
      <w:r w:rsidR="00F848CC" w:rsidRPr="007423F5">
        <w:rPr>
          <w:sz w:val="26"/>
          <w:szCs w:val="26"/>
        </w:rPr>
        <w:t xml:space="preserve">1 января </w:t>
      </w:r>
      <w:r w:rsidRPr="007423F5">
        <w:rPr>
          <w:sz w:val="26"/>
          <w:szCs w:val="26"/>
        </w:rPr>
        <w:t xml:space="preserve">2019 в реестре </w:t>
      </w:r>
      <w:r w:rsidR="007423F5" w:rsidRPr="007423F5">
        <w:rPr>
          <w:sz w:val="26"/>
          <w:szCs w:val="26"/>
        </w:rPr>
        <w:t>числя</w:t>
      </w:r>
      <w:r w:rsidRPr="007423F5">
        <w:rPr>
          <w:sz w:val="26"/>
          <w:szCs w:val="26"/>
        </w:rPr>
        <w:t>тся</w:t>
      </w:r>
      <w:r w:rsidR="007423F5" w:rsidRPr="007423F5">
        <w:rPr>
          <w:sz w:val="26"/>
          <w:szCs w:val="26"/>
        </w:rPr>
        <w:t xml:space="preserve"> </w:t>
      </w:r>
      <w:r w:rsidRPr="007423F5">
        <w:rPr>
          <w:sz w:val="26"/>
          <w:szCs w:val="26"/>
        </w:rPr>
        <w:t>16 810 загрязненных участков общей площадью 3</w:t>
      </w:r>
      <w:r w:rsidR="007423F5" w:rsidRPr="007423F5">
        <w:rPr>
          <w:sz w:val="26"/>
          <w:szCs w:val="26"/>
        </w:rPr>
        <w:t> </w:t>
      </w:r>
      <w:r w:rsidRPr="007423F5">
        <w:rPr>
          <w:sz w:val="26"/>
          <w:szCs w:val="26"/>
        </w:rPr>
        <w:t>305,87 га. Загрязнение земель, в большей степени,</w:t>
      </w:r>
      <w:r w:rsidRPr="00A20E22">
        <w:rPr>
          <w:sz w:val="26"/>
          <w:szCs w:val="26"/>
        </w:rPr>
        <w:t xml:space="preserve"> происходит в результате аварийных разливов нефти, нефтепродуктов. </w:t>
      </w:r>
    </w:p>
    <w:p w:rsidR="00CE705A" w:rsidRPr="00A20E22" w:rsidRDefault="00CE705A" w:rsidP="00CE705A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A20E22">
        <w:rPr>
          <w:sz w:val="26"/>
          <w:szCs w:val="26"/>
        </w:rPr>
        <w:t>В целях осуществления постоянного наблюдения за состоянием окружающей среды в январе-июне 2019 года выполнено 17010 определений качества атмосферного воздуха по основным загрязняющим примесям. Измерения произведены на 8 постах территориальной сети наблюдения в 7 населенных пунктах: Белоярский, Березово, Нефтеюганск, Нижневартовск, Радужный, Сургут (1,2) и Ханты-Мансийск (федеральный пост).</w:t>
      </w:r>
    </w:p>
    <w:p w:rsidR="00F848CC" w:rsidRPr="00A20E22" w:rsidRDefault="00F848CC" w:rsidP="0036416F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A20E22">
        <w:rPr>
          <w:sz w:val="26"/>
          <w:szCs w:val="26"/>
        </w:rPr>
        <w:t>XVII Международная экологическая акция «</w:t>
      </w:r>
      <w:proofErr w:type="gramStart"/>
      <w:r w:rsidRPr="00A20E22">
        <w:rPr>
          <w:sz w:val="26"/>
          <w:szCs w:val="26"/>
        </w:rPr>
        <w:t>Спасти и сохранить</w:t>
      </w:r>
      <w:proofErr w:type="gramEnd"/>
      <w:r w:rsidRPr="00A20E22">
        <w:rPr>
          <w:sz w:val="26"/>
          <w:szCs w:val="26"/>
        </w:rPr>
        <w:t xml:space="preserve">» прошла в Югре под девизом «Познавая природу, сохраняй ее!» с 16 мая по 7 июня 2019 года под эгидой Комиссии РФ по делам ЮНЕСКО и Международной организации северных регионов «Северный Форум». В </w:t>
      </w:r>
      <w:r w:rsidR="0036416F" w:rsidRPr="00A20E22">
        <w:rPr>
          <w:sz w:val="26"/>
          <w:szCs w:val="26"/>
        </w:rPr>
        <w:t>п</w:t>
      </w:r>
      <w:r w:rsidRPr="00A20E22">
        <w:rPr>
          <w:sz w:val="26"/>
          <w:szCs w:val="26"/>
        </w:rPr>
        <w:t xml:space="preserve">лан основных мероприятий акции вошли 30 мероприятий международного, всероссийского и регионального уровня, участниками которых стали жители 22 муниципальных образования Югры, представители 79 субъектов </w:t>
      </w:r>
      <w:r w:rsidR="0036416F" w:rsidRPr="00A20E22">
        <w:rPr>
          <w:sz w:val="26"/>
          <w:szCs w:val="26"/>
        </w:rPr>
        <w:t>Российской Федерации</w:t>
      </w:r>
      <w:r w:rsidRPr="00A20E22">
        <w:rPr>
          <w:sz w:val="26"/>
          <w:szCs w:val="26"/>
        </w:rPr>
        <w:t>, 68 стран</w:t>
      </w:r>
      <w:r w:rsidR="0036416F" w:rsidRPr="00A20E22">
        <w:rPr>
          <w:sz w:val="26"/>
          <w:szCs w:val="26"/>
        </w:rPr>
        <w:t xml:space="preserve"> ближнего и дальнего зарубежья</w:t>
      </w:r>
      <w:r w:rsidRPr="00A20E22">
        <w:rPr>
          <w:sz w:val="26"/>
          <w:szCs w:val="26"/>
        </w:rPr>
        <w:t xml:space="preserve"> с общим количеством участников свыше 300 тысяч человек.</w:t>
      </w:r>
    </w:p>
    <w:p w:rsidR="00CE705A" w:rsidRPr="00A20E22" w:rsidRDefault="00CE705A" w:rsidP="00CE705A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A20E22">
        <w:rPr>
          <w:sz w:val="26"/>
          <w:szCs w:val="26"/>
        </w:rPr>
        <w:t>Продолжена работа по реформированию контрольно-надзорной деятельности, за январь-</w:t>
      </w:r>
      <w:r w:rsidR="0036416F" w:rsidRPr="00A20E22">
        <w:rPr>
          <w:sz w:val="26"/>
          <w:szCs w:val="26"/>
        </w:rPr>
        <w:t>июнь</w:t>
      </w:r>
      <w:r w:rsidRPr="00A20E22">
        <w:rPr>
          <w:sz w:val="26"/>
          <w:szCs w:val="26"/>
        </w:rPr>
        <w:t xml:space="preserve"> 2019 года проведено 39 плановых и 233 внеплановых проверок. Для получения качественной оперативной информации о выявленных экологических нарушениях используется информационная система обеспечения государственного экологического контроля, которая признана лучшей в Российской Федерации.</w:t>
      </w:r>
    </w:p>
    <w:p w:rsidR="008B58C7" w:rsidRPr="00A20E22" w:rsidRDefault="008B58C7" w:rsidP="008B58C7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97048F" w:rsidRPr="00A20E22" w:rsidRDefault="0097048F" w:rsidP="00C86DAD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sectPr w:rsidR="0097048F" w:rsidRPr="00A20E22" w:rsidSect="00515992">
      <w:headerReference w:type="default" r:id="rId15"/>
      <w:pgSz w:w="11906" w:h="16838"/>
      <w:pgMar w:top="1134" w:right="850" w:bottom="1134" w:left="1701" w:header="708" w:footer="708" w:gutter="0"/>
      <w:pgNumType w:start="3098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A52" w:rsidRDefault="00541A52" w:rsidP="00F300CC">
      <w:r>
        <w:separator/>
      </w:r>
    </w:p>
  </w:endnote>
  <w:endnote w:type="continuationSeparator" w:id="0">
    <w:p w:rsidR="00541A52" w:rsidRDefault="00541A52" w:rsidP="00F30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ngLiU_HKSCS">
    <w:panose1 w:val="02020500000000000000"/>
    <w:charset w:val="88"/>
    <w:family w:val="roman"/>
    <w:pitch w:val="variable"/>
    <w:sig w:usb0="A00002FF" w:usb1="38CFFCFA" w:usb2="00000016" w:usb3="00000000" w:csb0="001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A52" w:rsidRDefault="00541A52" w:rsidP="00F300CC">
      <w:r>
        <w:separator/>
      </w:r>
    </w:p>
  </w:footnote>
  <w:footnote w:type="continuationSeparator" w:id="0">
    <w:p w:rsidR="00541A52" w:rsidRDefault="00541A52" w:rsidP="00F300CC">
      <w:r>
        <w:continuationSeparator/>
      </w:r>
    </w:p>
  </w:footnote>
  <w:footnote w:id="1">
    <w:p w:rsidR="003E4425" w:rsidRPr="00CF3DCB" w:rsidRDefault="003E4425" w:rsidP="00CF3DCB">
      <w:pPr>
        <w:pStyle w:val="a6"/>
      </w:pPr>
      <w:r>
        <w:rPr>
          <w:rStyle w:val="a8"/>
        </w:rPr>
        <w:footnoteRef/>
      </w:r>
      <w:r w:rsidRPr="00CF3DCB">
        <w:t>Основные показатели прогноза социально-экономического развития автономного округа на 2020 год и на плановый период 2021 и 2022 годов (протокол №</w:t>
      </w:r>
      <w:r>
        <w:t xml:space="preserve"> </w:t>
      </w:r>
      <w:r w:rsidRPr="00CF3DCB">
        <w:t>1 от 10.06.2019 Комиссии по бюджетным проектировкам)</w:t>
      </w:r>
    </w:p>
  </w:footnote>
  <w:footnote w:id="2">
    <w:p w:rsidR="00541A52" w:rsidRPr="00CF3DCB" w:rsidRDefault="00541A52" w:rsidP="00CF3DCB">
      <w:pPr>
        <w:pStyle w:val="a6"/>
        <w:jc w:val="both"/>
      </w:pPr>
      <w:r w:rsidRPr="00CF3DCB">
        <w:rPr>
          <w:rStyle w:val="a8"/>
        </w:rPr>
        <w:footnoteRef/>
      </w:r>
      <w:r w:rsidRPr="00CF3DCB">
        <w:t>с учётом единовременной выплаты, назначенной пенсионерам в январе 2017 г</w:t>
      </w:r>
      <w:r>
        <w:t>ода</w:t>
      </w:r>
      <w:r w:rsidRPr="00CF3DCB">
        <w:t xml:space="preserve"> в соответствии с Федеральным законом от 22 ноября 2016</w:t>
      </w:r>
      <w:r>
        <w:t xml:space="preserve"> </w:t>
      </w:r>
      <w:r w:rsidRPr="00CF3DCB">
        <w:t>г</w:t>
      </w:r>
      <w:r>
        <w:t>ода</w:t>
      </w:r>
      <w:r w:rsidRPr="00CF3DCB">
        <w:t xml:space="preserve"> № 385-ФЗ в размере 5 тыс. рублей</w:t>
      </w:r>
    </w:p>
  </w:footnote>
  <w:footnote w:id="3">
    <w:p w:rsidR="00541A52" w:rsidRDefault="00541A52" w:rsidP="00CF3DCB">
      <w:pPr>
        <w:pStyle w:val="a6"/>
      </w:pPr>
      <w:r w:rsidRPr="00CF3DCB">
        <w:rPr>
          <w:rStyle w:val="a8"/>
        </w:rPr>
        <w:footnoteRef/>
      </w:r>
      <w:r w:rsidRPr="00CF3DCB">
        <w:t xml:space="preserve">оценка </w:t>
      </w:r>
      <w:proofErr w:type="spellStart"/>
      <w:r w:rsidRPr="00CF3DCB">
        <w:t>Депэкономики</w:t>
      </w:r>
      <w:proofErr w:type="spellEnd"/>
      <w:r w:rsidRPr="00CF3DCB">
        <w:t xml:space="preserve"> Югры</w:t>
      </w:r>
      <w:r>
        <w:t xml:space="preserve"> </w:t>
      </w:r>
    </w:p>
  </w:footnote>
  <w:footnote w:id="4">
    <w:p w:rsidR="00541A52" w:rsidRDefault="00541A52" w:rsidP="00A932F0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 w:rsidRPr="001F4C62">
        <w:t>по данным Автономного учреждения Ханты-Мансийского автономного округа – Югры «Научно-аналитический центр рационального недропользования им. В.И.</w:t>
      </w:r>
      <w:r>
        <w:t xml:space="preserve"> </w:t>
      </w:r>
      <w:r w:rsidRPr="001F4C62">
        <w:t>Шпильмана»</w:t>
      </w:r>
    </w:p>
  </w:footnote>
  <w:footnote w:id="5">
    <w:p w:rsidR="00541A52" w:rsidRDefault="00541A52" w:rsidP="00F81563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 w:rsidRPr="003232FA">
        <w:t xml:space="preserve">Социально-экономическое положение Тюменской области в </w:t>
      </w:r>
      <w:r>
        <w:t>январе-июне 2019</w:t>
      </w:r>
      <w:r w:rsidRPr="003232FA">
        <w:t xml:space="preserve"> года: Стат. доклад/</w:t>
      </w:r>
      <w:r w:rsidRPr="0046486F">
        <w:t>Управление Федеральной службы государственной статистики по Тюменской области, Ханты-Мансийскому автономному округу – Югре и Ямало-Ненецкому автономному округу</w:t>
      </w:r>
    </w:p>
  </w:footnote>
  <w:footnote w:id="6">
    <w:p w:rsidR="00541A52" w:rsidRPr="00744C8A" w:rsidRDefault="00541A52" w:rsidP="00F81563">
      <w:pPr>
        <w:pStyle w:val="a6"/>
      </w:pPr>
      <w:r w:rsidRPr="00744C8A">
        <w:rPr>
          <w:rStyle w:val="a8"/>
        </w:rPr>
        <w:footnoteRef/>
      </w:r>
      <w:r>
        <w:t xml:space="preserve"> </w:t>
      </w:r>
      <w:r w:rsidRPr="001263E9">
        <w:t>п</w:t>
      </w:r>
      <w:r w:rsidRPr="00744C8A">
        <w:t xml:space="preserve">о данным </w:t>
      </w:r>
      <w:proofErr w:type="spellStart"/>
      <w:r w:rsidRPr="00744C8A">
        <w:t>Депнедра</w:t>
      </w:r>
      <w:proofErr w:type="spellEnd"/>
      <w:r w:rsidRPr="00744C8A">
        <w:t xml:space="preserve"> и природных ресурсов Югры</w:t>
      </w:r>
    </w:p>
  </w:footnote>
  <w:footnote w:id="7">
    <w:p w:rsidR="00541A52" w:rsidRDefault="00541A52" w:rsidP="00F81563">
      <w:pPr>
        <w:pStyle w:val="a6"/>
        <w:jc w:val="both"/>
      </w:pPr>
      <w:r>
        <w:rPr>
          <w:rStyle w:val="a8"/>
        </w:rPr>
        <w:footnoteRef/>
      </w:r>
      <w:r w:rsidRPr="003232FA">
        <w:t xml:space="preserve">Социально-экономическое положение Тюменской области в </w:t>
      </w:r>
      <w:r>
        <w:t>январе-июне 2019</w:t>
      </w:r>
      <w:r w:rsidRPr="003232FA">
        <w:t xml:space="preserve"> года: Стат. доклад/ </w:t>
      </w:r>
      <w:r w:rsidRPr="0046486F">
        <w:t>Управление Федеральной службы государственной статистики по Тюменской области, Ханты-Мансийскому автономному округу – Югре и Ямало-Ненецкому автономному округу</w:t>
      </w:r>
    </w:p>
  </w:footnote>
  <w:footnote w:id="8">
    <w:p w:rsidR="00541A52" w:rsidRDefault="00541A52" w:rsidP="00F81563">
      <w:pPr>
        <w:pStyle w:val="a6"/>
        <w:jc w:val="both"/>
      </w:pPr>
      <w:r>
        <w:rPr>
          <w:rStyle w:val="a8"/>
        </w:rPr>
        <w:footnoteRef/>
      </w:r>
      <w:r w:rsidRPr="001263E9">
        <w:t>по</w:t>
      </w:r>
      <w:r>
        <w:t xml:space="preserve"> данным </w:t>
      </w:r>
      <w:proofErr w:type="spellStart"/>
      <w:r>
        <w:t>Деппромышленности</w:t>
      </w:r>
      <w:proofErr w:type="spellEnd"/>
      <w:r>
        <w:t xml:space="preserve"> Югры, </w:t>
      </w:r>
      <w:r w:rsidRPr="00CD339C">
        <w:t>информации представленной муниципальными образованиями автономного округа</w:t>
      </w:r>
    </w:p>
  </w:footnote>
  <w:footnote w:id="9">
    <w:p w:rsidR="00541A52" w:rsidRPr="001263E9" w:rsidRDefault="00541A52" w:rsidP="00A90F64">
      <w:pPr>
        <w:pStyle w:val="a6"/>
        <w:jc w:val="both"/>
      </w:pPr>
      <w:r>
        <w:rPr>
          <w:rStyle w:val="a8"/>
        </w:rPr>
        <w:footnoteRef/>
      </w:r>
      <w:r w:rsidRPr="003232FA">
        <w:t xml:space="preserve">Социально-экономическое положение Тюменской области в </w:t>
      </w:r>
      <w:r>
        <w:t>январе-марте 2019</w:t>
      </w:r>
      <w:r w:rsidRPr="003232FA">
        <w:t xml:space="preserve"> года: Стат. доклад/ </w:t>
      </w:r>
      <w:r w:rsidRPr="0046486F">
        <w:t xml:space="preserve">Управление Федеральной службы государственной статистики по Тюменской области, Ханты-Мансийскому </w:t>
      </w:r>
      <w:r w:rsidRPr="001263E9">
        <w:t>автономному округу – Югре и Ямало-Ненецкому автономному округу</w:t>
      </w:r>
    </w:p>
  </w:footnote>
  <w:footnote w:id="10">
    <w:p w:rsidR="00541A52" w:rsidRPr="001263E9" w:rsidRDefault="00541A52" w:rsidP="00A90F64">
      <w:pPr>
        <w:pStyle w:val="a6"/>
        <w:jc w:val="both"/>
      </w:pPr>
      <w:r w:rsidRPr="001263E9">
        <w:rPr>
          <w:rStyle w:val="a8"/>
        </w:rPr>
        <w:footnoteRef/>
      </w:r>
      <w:r w:rsidRPr="001263E9">
        <w:t xml:space="preserve">по данным </w:t>
      </w:r>
      <w:proofErr w:type="spellStart"/>
      <w:r w:rsidRPr="001263E9">
        <w:t>Деппромышленности</w:t>
      </w:r>
      <w:proofErr w:type="spellEnd"/>
      <w:r w:rsidRPr="001263E9">
        <w:t xml:space="preserve"> Югры</w:t>
      </w:r>
    </w:p>
  </w:footnote>
  <w:footnote w:id="11">
    <w:p w:rsidR="00541A52" w:rsidRDefault="00541A52" w:rsidP="00217632">
      <w:pPr>
        <w:pStyle w:val="a6"/>
        <w:jc w:val="both"/>
      </w:pPr>
      <w:r w:rsidRPr="001263E9">
        <w:rPr>
          <w:rStyle w:val="a8"/>
        </w:rPr>
        <w:footnoteRef/>
      </w:r>
      <w:r w:rsidRPr="001263E9">
        <w:t xml:space="preserve">по данным </w:t>
      </w:r>
      <w:proofErr w:type="spellStart"/>
      <w:r w:rsidRPr="001263E9">
        <w:t>Деппромышленности</w:t>
      </w:r>
      <w:proofErr w:type="spellEnd"/>
      <w:r w:rsidRPr="001263E9">
        <w:t xml:space="preserve"> Югры, информации представленной муниципальными образованиями автономного</w:t>
      </w:r>
      <w:r w:rsidRPr="00CD339C">
        <w:t xml:space="preserve"> округа</w:t>
      </w:r>
    </w:p>
  </w:footnote>
  <w:footnote w:id="12">
    <w:p w:rsidR="00541A52" w:rsidRPr="00A742B3" w:rsidRDefault="00541A52" w:rsidP="00955A21">
      <w:pPr>
        <w:jc w:val="both"/>
      </w:pPr>
      <w:r>
        <w:rPr>
          <w:rStyle w:val="a8"/>
        </w:rPr>
        <w:footnoteRef/>
      </w:r>
      <w:r w:rsidRPr="003232FA">
        <w:t xml:space="preserve">Социально-экономическое положение Тюменской области в </w:t>
      </w:r>
      <w:r>
        <w:t>январе-июне 2019</w:t>
      </w:r>
      <w:r w:rsidRPr="003232FA">
        <w:t xml:space="preserve"> года: Стат. доклад/ </w:t>
      </w:r>
      <w:r w:rsidRPr="0046486F">
        <w:t xml:space="preserve">Управление Федеральной службы государственной статистики по Тюменской области, Ханты-Мансийскому </w:t>
      </w:r>
      <w:r w:rsidRPr="00A742B3">
        <w:t>автономному округу – Югре и Ямало-Ненецкому автономному округу</w:t>
      </w:r>
    </w:p>
  </w:footnote>
  <w:footnote w:id="13">
    <w:p w:rsidR="00541A52" w:rsidRPr="001263E9" w:rsidRDefault="00541A52" w:rsidP="00955A21">
      <w:pPr>
        <w:jc w:val="both"/>
      </w:pPr>
      <w:r w:rsidRPr="00A742B3">
        <w:rPr>
          <w:vertAlign w:val="superscript"/>
        </w:rPr>
        <w:footnoteRef/>
      </w:r>
      <w:r>
        <w:t> </w:t>
      </w:r>
      <w:r w:rsidRPr="00A742B3">
        <w:t>Ввод в эксплуатацию зданий и сооружений в Тюменской области за</w:t>
      </w:r>
      <w:r w:rsidRPr="00A742B3">
        <w:br/>
        <w:t>январь-</w:t>
      </w:r>
      <w:r>
        <w:t>июнь</w:t>
      </w:r>
      <w:r w:rsidRPr="00A742B3">
        <w:t xml:space="preserve"> 2019 года: Стат. </w:t>
      </w:r>
      <w:proofErr w:type="spellStart"/>
      <w:r w:rsidRPr="00A742B3">
        <w:t>бюл</w:t>
      </w:r>
      <w:proofErr w:type="spellEnd"/>
      <w:r w:rsidRPr="00A742B3">
        <w:t>/Управлен</w:t>
      </w:r>
      <w:r>
        <w:t>ие Федеральной службы государст</w:t>
      </w:r>
      <w:r w:rsidRPr="00A742B3">
        <w:t>венной статистики по Тюменской области, Ханты-Мансийскому автономному округу – Югре и Ямало-</w:t>
      </w:r>
      <w:r w:rsidRPr="001263E9">
        <w:t>Ненецкому автономному округу</w:t>
      </w:r>
    </w:p>
  </w:footnote>
  <w:footnote w:id="14">
    <w:p w:rsidR="00541A52" w:rsidRPr="00093FC5" w:rsidRDefault="00541A52" w:rsidP="00955A21">
      <w:pPr>
        <w:jc w:val="both"/>
      </w:pPr>
      <w:r w:rsidRPr="001263E9">
        <w:rPr>
          <w:vertAlign w:val="superscript"/>
        </w:rPr>
        <w:footnoteRef/>
      </w:r>
      <w:r w:rsidRPr="001263E9">
        <w:t xml:space="preserve"> по</w:t>
      </w:r>
      <w:r w:rsidRPr="00265750">
        <w:t xml:space="preserve"> данным Центробанка РФ</w:t>
      </w:r>
    </w:p>
  </w:footnote>
  <w:footnote w:id="15">
    <w:p w:rsidR="00541A52" w:rsidRPr="00D76982" w:rsidRDefault="00541A52" w:rsidP="00955A21">
      <w:pPr>
        <w:jc w:val="both"/>
      </w:pPr>
      <w:r>
        <w:rPr>
          <w:rStyle w:val="a8"/>
        </w:rPr>
        <w:footnoteRef/>
      </w:r>
      <w:r w:rsidRPr="003232FA">
        <w:t xml:space="preserve">Социально-экономическое положение Тюменской области в </w:t>
      </w:r>
      <w:r>
        <w:t>январе-июне 2019</w:t>
      </w:r>
      <w:r w:rsidRPr="003232FA">
        <w:t xml:space="preserve"> года: Стат. доклад/</w:t>
      </w:r>
      <w:r w:rsidRPr="0046486F">
        <w:t>Управление Федеральной службы государственной статистики по Тюменской области, Ханты-Мансийскому автономному округу – Югре и Ямало-Ненецкому автономному округу</w:t>
      </w:r>
    </w:p>
  </w:footnote>
  <w:footnote w:id="16">
    <w:p w:rsidR="00541A52" w:rsidRPr="00351CD2" w:rsidRDefault="00541A52" w:rsidP="002855DB">
      <w:pPr>
        <w:pStyle w:val="a6"/>
      </w:pPr>
      <w:r w:rsidRPr="00A30F40">
        <w:rPr>
          <w:rStyle w:val="a8"/>
          <w:sz w:val="18"/>
          <w:szCs w:val="18"/>
        </w:rPr>
        <w:footnoteRef/>
      </w:r>
      <w:r w:rsidRPr="00351CD2">
        <w:t xml:space="preserve">по данным </w:t>
      </w:r>
      <w:proofErr w:type="spellStart"/>
      <w:r w:rsidRPr="00351CD2">
        <w:t>Депдорхоз</w:t>
      </w:r>
      <w:proofErr w:type="spellEnd"/>
      <w:r w:rsidRPr="00351CD2">
        <w:t xml:space="preserve"> и транспорта Югры</w:t>
      </w:r>
    </w:p>
  </w:footnote>
  <w:footnote w:id="17">
    <w:p w:rsidR="00541A52" w:rsidRPr="00980FB6" w:rsidRDefault="00541A52" w:rsidP="00173D00">
      <w:pPr>
        <w:pStyle w:val="a6"/>
        <w:jc w:val="both"/>
      </w:pPr>
      <w:r w:rsidRPr="00980FB6">
        <w:rPr>
          <w:rStyle w:val="a8"/>
        </w:rPr>
        <w:footnoteRef/>
      </w:r>
      <w:r w:rsidRPr="00980FB6">
        <w:t xml:space="preserve"> по оценке </w:t>
      </w:r>
      <w:proofErr w:type="spellStart"/>
      <w:r w:rsidRPr="00980FB6">
        <w:t>Депстрой</w:t>
      </w:r>
      <w:proofErr w:type="spellEnd"/>
      <w:r w:rsidRPr="00980FB6">
        <w:t xml:space="preserve"> Югры</w:t>
      </w:r>
    </w:p>
  </w:footnote>
  <w:footnote w:id="18">
    <w:p w:rsidR="00541A52" w:rsidRPr="00980FB6" w:rsidRDefault="00541A52" w:rsidP="00D03D45">
      <w:pPr>
        <w:pStyle w:val="a6"/>
      </w:pPr>
      <w:r w:rsidRPr="00980FB6">
        <w:rPr>
          <w:rStyle w:val="a8"/>
        </w:rPr>
        <w:footnoteRef/>
      </w:r>
      <w:r w:rsidRPr="00980FB6">
        <w:t xml:space="preserve"> по оценке </w:t>
      </w:r>
      <w:proofErr w:type="spellStart"/>
      <w:r w:rsidRPr="00980FB6">
        <w:t>Депстрой</w:t>
      </w:r>
      <w:proofErr w:type="spellEnd"/>
      <w:r w:rsidRPr="00980FB6">
        <w:t xml:space="preserve"> Югры</w:t>
      </w:r>
    </w:p>
  </w:footnote>
  <w:footnote w:id="19">
    <w:p w:rsidR="00541A52" w:rsidRPr="002B0B53" w:rsidRDefault="00541A52" w:rsidP="00173D00">
      <w:pPr>
        <w:pStyle w:val="a6"/>
        <w:jc w:val="both"/>
      </w:pPr>
      <w:r w:rsidRPr="00980FB6">
        <w:rPr>
          <w:rStyle w:val="a8"/>
        </w:rPr>
        <w:footnoteRef/>
      </w:r>
      <w:r w:rsidRPr="00980FB6">
        <w:t xml:space="preserve"> постановление Правительства автономного округа от 25.12.2013 № 568-п</w:t>
      </w:r>
      <w:r w:rsidRPr="002B0B53">
        <w:t xml:space="preserve"> </w:t>
      </w:r>
    </w:p>
  </w:footnote>
  <w:footnote w:id="20">
    <w:p w:rsidR="00541A52" w:rsidRPr="00C412E0" w:rsidRDefault="00541A52" w:rsidP="00CF3DCB">
      <w:pPr>
        <w:pStyle w:val="a6"/>
        <w:jc w:val="both"/>
      </w:pPr>
      <w:r w:rsidRPr="00C412E0">
        <w:rPr>
          <w:rStyle w:val="a8"/>
          <w:color w:val="000000" w:themeColor="text1"/>
        </w:rPr>
        <w:footnoteRef/>
      </w:r>
      <w:r>
        <w:rPr>
          <w:color w:val="000000" w:themeColor="text1"/>
        </w:rPr>
        <w:t xml:space="preserve"> </w:t>
      </w:r>
      <w:r w:rsidRPr="009E2152">
        <w:rPr>
          <w:spacing w:val="-4"/>
          <w:szCs w:val="18"/>
        </w:rPr>
        <w:t xml:space="preserve">Инвестиции в Тюменской области за </w:t>
      </w:r>
      <w:r>
        <w:rPr>
          <w:spacing w:val="-4"/>
          <w:szCs w:val="18"/>
        </w:rPr>
        <w:t>январь-</w:t>
      </w:r>
      <w:r w:rsidRPr="00CF3DCB">
        <w:rPr>
          <w:spacing w:val="-4"/>
          <w:szCs w:val="18"/>
        </w:rPr>
        <w:t>июнь 2019</w:t>
      </w:r>
      <w:r w:rsidRPr="009E2152">
        <w:rPr>
          <w:spacing w:val="-4"/>
          <w:szCs w:val="18"/>
        </w:rPr>
        <w:t xml:space="preserve"> год</w:t>
      </w:r>
      <w:r>
        <w:rPr>
          <w:spacing w:val="-4"/>
          <w:szCs w:val="18"/>
        </w:rPr>
        <w:t>а</w:t>
      </w:r>
      <w:r w:rsidRPr="009E2152">
        <w:rPr>
          <w:b/>
          <w:spacing w:val="-4"/>
          <w:szCs w:val="18"/>
        </w:rPr>
        <w:t xml:space="preserve">: </w:t>
      </w:r>
      <w:r>
        <w:rPr>
          <w:spacing w:val="-4"/>
          <w:szCs w:val="18"/>
        </w:rPr>
        <w:t xml:space="preserve">Стат. </w:t>
      </w:r>
      <w:proofErr w:type="spellStart"/>
      <w:r>
        <w:rPr>
          <w:spacing w:val="-4"/>
          <w:szCs w:val="18"/>
        </w:rPr>
        <w:t>бюл</w:t>
      </w:r>
      <w:proofErr w:type="spellEnd"/>
      <w:r>
        <w:rPr>
          <w:spacing w:val="-4"/>
          <w:szCs w:val="18"/>
        </w:rPr>
        <w:t xml:space="preserve">./Управление </w:t>
      </w:r>
      <w:r w:rsidRPr="00AF18C8">
        <w:rPr>
          <w:spacing w:val="-4"/>
          <w:szCs w:val="18"/>
        </w:rPr>
        <w:t>Федеральной службы государственной статистики по Тюме</w:t>
      </w:r>
      <w:r>
        <w:rPr>
          <w:spacing w:val="-4"/>
          <w:szCs w:val="18"/>
        </w:rPr>
        <w:t>нской области, Ханты-Мансийскому автономному округу – Югре и Ямало-Ненецкому автономному округу</w:t>
      </w:r>
    </w:p>
  </w:footnote>
  <w:footnote w:id="21">
    <w:p w:rsidR="00541A52" w:rsidRPr="00C21C42" w:rsidRDefault="00541A52" w:rsidP="009F0C75">
      <w:pPr>
        <w:rPr>
          <w:rFonts w:eastAsia="Calibri"/>
          <w:color w:val="000000" w:themeColor="text1"/>
          <w:lang w:eastAsia="en-US"/>
        </w:rPr>
      </w:pPr>
      <w:r w:rsidRPr="00C21C42">
        <w:rPr>
          <w:rStyle w:val="a8"/>
          <w:rFonts w:eastAsiaTheme="majorEastAsia"/>
          <w:b/>
          <w:color w:val="000000" w:themeColor="text1"/>
        </w:rPr>
        <w:footnoteRef/>
      </w:r>
      <w:r w:rsidRPr="00C21C42">
        <w:rPr>
          <w:b/>
          <w:color w:val="000000" w:themeColor="text1"/>
        </w:rPr>
        <w:t xml:space="preserve"> </w:t>
      </w:r>
      <w:r w:rsidRPr="00C21C42">
        <w:rPr>
          <w:rStyle w:val="afc"/>
          <w:b w:val="0"/>
          <w:color w:val="000000" w:themeColor="text1"/>
        </w:rPr>
        <w:t>Некоммерческое партнерство «Центр развития ГЧП»</w:t>
      </w:r>
      <w:r>
        <w:rPr>
          <w:rStyle w:val="afc"/>
          <w:b w:val="0"/>
          <w:color w:val="000000" w:themeColor="text1"/>
        </w:rPr>
        <w:t>,</w:t>
      </w:r>
      <w:r w:rsidRPr="00C21C42">
        <w:rPr>
          <w:rFonts w:eastAsia="Calibri"/>
          <w:b/>
          <w:color w:val="000000" w:themeColor="text1"/>
          <w:lang w:eastAsia="en-US"/>
        </w:rPr>
        <w:t xml:space="preserve"> </w:t>
      </w:r>
      <w:r w:rsidRPr="00C21C42">
        <w:rPr>
          <w:rFonts w:eastAsia="Calibri"/>
          <w:color w:val="000000" w:themeColor="text1"/>
          <w:lang w:eastAsia="en-US"/>
        </w:rPr>
        <w:t>http://pppcenter.ru/proektyi-czentra/rejting-regionov-po-gchp.html</w:t>
      </w:r>
    </w:p>
  </w:footnote>
  <w:footnote w:id="22">
    <w:p w:rsidR="00541A52" w:rsidRPr="00651006" w:rsidRDefault="00541A52" w:rsidP="0035203D">
      <w:pPr>
        <w:pStyle w:val="a6"/>
      </w:pPr>
      <w:r w:rsidRPr="00651006">
        <w:rPr>
          <w:rStyle w:val="a8"/>
        </w:rPr>
        <w:footnoteRef/>
      </w:r>
      <w:r w:rsidRPr="00651006">
        <w:rPr>
          <w:rFonts w:eastAsiaTheme="minorHAnsi"/>
          <w:lang w:eastAsia="en-US"/>
        </w:rPr>
        <w:t>по данным ЦМИТ</w:t>
      </w:r>
    </w:p>
  </w:footnote>
  <w:footnote w:id="23">
    <w:p w:rsidR="00541A52" w:rsidRPr="00651006" w:rsidRDefault="00541A52">
      <w:pPr>
        <w:pStyle w:val="a6"/>
      </w:pPr>
      <w:r w:rsidRPr="00651006">
        <w:rPr>
          <w:rStyle w:val="a8"/>
        </w:rPr>
        <w:footnoteRef/>
      </w:r>
      <w:r w:rsidRPr="00651006">
        <w:t>по данным Технопарка</w:t>
      </w:r>
    </w:p>
  </w:footnote>
  <w:footnote w:id="24">
    <w:p w:rsidR="00541A52" w:rsidRPr="00FE0F13" w:rsidRDefault="00541A52" w:rsidP="008B711F">
      <w:pPr>
        <w:pStyle w:val="a6"/>
        <w:jc w:val="both"/>
      </w:pPr>
      <w:r w:rsidRPr="00651006">
        <w:rPr>
          <w:rStyle w:val="a8"/>
        </w:rPr>
        <w:footnoteRef/>
      </w:r>
      <w:r w:rsidRPr="00651006">
        <w:t>статистическая отчетность Федеральной налоговой службы РФ, форма № 1-НМ по состоянию на 01.07.2019</w:t>
      </w:r>
      <w:r>
        <w:t xml:space="preserve"> </w:t>
      </w:r>
    </w:p>
  </w:footnote>
  <w:footnote w:id="25">
    <w:p w:rsidR="00CC224B" w:rsidRDefault="00CC224B" w:rsidP="00CC224B">
      <w:pPr>
        <w:pStyle w:val="a6"/>
        <w:jc w:val="both"/>
      </w:pPr>
      <w:r w:rsidRPr="00651006">
        <w:rPr>
          <w:rStyle w:val="a8"/>
        </w:rPr>
        <w:footnoteRef/>
      </w:r>
      <w:r w:rsidRPr="00651006">
        <w:t xml:space="preserve"> с учётом единовременной выплаты, назначенной пенсионерам в январе 2017 г. в соответствии с Федеральным законом от 22 ноября 2016г. № 385-ФЗ в размере 5 тыс. рублей</w:t>
      </w:r>
    </w:p>
  </w:footnote>
  <w:footnote w:id="26">
    <w:p w:rsidR="00CC224B" w:rsidRDefault="00CC224B" w:rsidP="00CC224B">
      <w:pPr>
        <w:pStyle w:val="a6"/>
        <w:jc w:val="both"/>
      </w:pPr>
      <w:r w:rsidRPr="00B93346">
        <w:rPr>
          <w:rStyle w:val="a8"/>
        </w:rPr>
        <w:footnoteRef/>
      </w:r>
      <w:r w:rsidRPr="00B93346">
        <w:t xml:space="preserve"> на 1 января 2017 года за вычетом единовременной выплаты, назначенной пенсионерам в соответствии с</w:t>
      </w:r>
      <w:r w:rsidRPr="000E54D1">
        <w:t xml:space="preserve"> Федеральным законом от 22 ноября 2016г. № 385-ФЗ в размере 5 тыс. рублей</w:t>
      </w:r>
    </w:p>
  </w:footnote>
  <w:footnote w:id="27">
    <w:p w:rsidR="00CC224B" w:rsidRDefault="00CC224B" w:rsidP="00CC224B">
      <w:pPr>
        <w:pStyle w:val="a6"/>
        <w:jc w:val="both"/>
      </w:pPr>
      <w:r>
        <w:rPr>
          <w:rStyle w:val="a8"/>
        </w:rPr>
        <w:footnoteRef/>
      </w:r>
      <w:r>
        <w:t xml:space="preserve"> по данным ГУ-Отделение Пенсионного фонда РФ по Ханты-Мансийскому автономному округу – Югре и Ханты-Мансийского НПФ</w:t>
      </w:r>
    </w:p>
  </w:footnote>
  <w:footnote w:id="28">
    <w:p w:rsidR="00CC224B" w:rsidRPr="003E52CD" w:rsidRDefault="00CC224B" w:rsidP="00CC224B">
      <w:pPr>
        <w:pStyle w:val="a6"/>
        <w:jc w:val="both"/>
      </w:pPr>
      <w:r w:rsidRPr="008B020C">
        <w:rPr>
          <w:rStyle w:val="a8"/>
          <w:sz w:val="18"/>
          <w:szCs w:val="18"/>
        </w:rPr>
        <w:footnoteRef/>
      </w:r>
      <w:r w:rsidRPr="003E52CD">
        <w:rPr>
          <w:rStyle w:val="afc"/>
          <w:b w:val="0"/>
        </w:rPr>
        <w:t>итоги федерального статистического наблюдения в сфере оплаты труда отдельных категорий работников социальной сферы и науки за январь-июнь 2019 года</w:t>
      </w:r>
      <w:r w:rsidRPr="003E52CD">
        <w:rPr>
          <w:rStyle w:val="afc"/>
        </w:rPr>
        <w:t xml:space="preserve"> </w:t>
      </w:r>
      <w:r w:rsidRPr="003E52CD">
        <w:rPr>
          <w:lang w:val="en-US"/>
        </w:rPr>
        <w:t>http</w:t>
      </w:r>
      <w:r w:rsidRPr="003E52CD">
        <w:t>://</w:t>
      </w:r>
      <w:r w:rsidRPr="003E52CD">
        <w:rPr>
          <w:lang w:val="en-US"/>
        </w:rPr>
        <w:t>www</w:t>
      </w:r>
      <w:r w:rsidRPr="003E52CD">
        <w:t>.</w:t>
      </w:r>
      <w:proofErr w:type="spellStart"/>
      <w:r w:rsidRPr="003E52CD">
        <w:rPr>
          <w:lang w:val="en-US"/>
        </w:rPr>
        <w:t>gks</w:t>
      </w:r>
      <w:proofErr w:type="spellEnd"/>
      <w:r w:rsidRPr="003E52CD">
        <w:t>.</w:t>
      </w:r>
      <w:proofErr w:type="spellStart"/>
      <w:r w:rsidRPr="003E52CD">
        <w:rPr>
          <w:lang w:val="en-US"/>
        </w:rPr>
        <w:t>ru</w:t>
      </w:r>
      <w:proofErr w:type="spellEnd"/>
      <w:r w:rsidRPr="003E52CD">
        <w:t>/</w:t>
      </w:r>
      <w:r w:rsidRPr="003E52CD">
        <w:rPr>
          <w:lang w:val="en-US"/>
        </w:rPr>
        <w:t>free</w:t>
      </w:r>
      <w:r w:rsidRPr="003E52CD">
        <w:t>_</w:t>
      </w:r>
      <w:r w:rsidRPr="003E52CD">
        <w:rPr>
          <w:lang w:val="en-US"/>
        </w:rPr>
        <w:t>doc</w:t>
      </w:r>
      <w:r w:rsidRPr="003E52CD">
        <w:t>/</w:t>
      </w:r>
      <w:r w:rsidRPr="003E52CD">
        <w:rPr>
          <w:lang w:val="en-US"/>
        </w:rPr>
        <w:t>new</w:t>
      </w:r>
      <w:r w:rsidRPr="003E52CD">
        <w:t>_</w:t>
      </w:r>
      <w:r w:rsidRPr="003E52CD">
        <w:rPr>
          <w:lang w:val="en-US"/>
        </w:rPr>
        <w:t>site</w:t>
      </w:r>
      <w:r w:rsidRPr="003E52CD">
        <w:t>/</w:t>
      </w:r>
      <w:r w:rsidRPr="003E52CD">
        <w:rPr>
          <w:lang w:val="en-US"/>
        </w:rPr>
        <w:t>population</w:t>
      </w:r>
      <w:r w:rsidRPr="003E52CD">
        <w:t>/</w:t>
      </w:r>
      <w:proofErr w:type="spellStart"/>
      <w:r w:rsidRPr="003E52CD">
        <w:rPr>
          <w:lang w:val="en-US"/>
        </w:rPr>
        <w:t>trud</w:t>
      </w:r>
      <w:proofErr w:type="spellEnd"/>
      <w:r w:rsidRPr="003E52CD">
        <w:t>/</w:t>
      </w:r>
      <w:proofErr w:type="spellStart"/>
      <w:r w:rsidRPr="003E52CD">
        <w:rPr>
          <w:lang w:val="en-US"/>
        </w:rPr>
        <w:t>itog</w:t>
      </w:r>
      <w:proofErr w:type="spellEnd"/>
      <w:r w:rsidRPr="003E52CD">
        <w:t>_</w:t>
      </w:r>
      <w:r w:rsidRPr="003E52CD">
        <w:rPr>
          <w:lang w:val="en-US"/>
        </w:rPr>
        <w:t>monitor</w:t>
      </w:r>
      <w:r w:rsidRPr="003E52CD">
        <w:t>/</w:t>
      </w:r>
      <w:proofErr w:type="spellStart"/>
      <w:r w:rsidRPr="003E52CD">
        <w:rPr>
          <w:lang w:val="en-US"/>
        </w:rPr>
        <w:t>zarplata</w:t>
      </w:r>
      <w:proofErr w:type="spellEnd"/>
      <w:r w:rsidRPr="003E52CD">
        <w:t>.</w:t>
      </w:r>
      <w:r w:rsidRPr="003E52CD">
        <w:rPr>
          <w:lang w:val="en-US"/>
        </w:rPr>
        <w:t>html</w:t>
      </w:r>
    </w:p>
  </w:footnote>
  <w:footnote w:id="29">
    <w:p w:rsidR="00CC224B" w:rsidRPr="003E52CD" w:rsidRDefault="00CC224B" w:rsidP="00CC224B">
      <w:pPr>
        <w:widowControl w:val="0"/>
        <w:jc w:val="both"/>
      </w:pPr>
      <w:r w:rsidRPr="003E52CD">
        <w:rPr>
          <w:rStyle w:val="a8"/>
        </w:rPr>
        <w:footnoteRef/>
      </w:r>
      <w:r w:rsidRPr="003E52CD">
        <w:t>оценка Росстата среднего дохода от трудовой деятельности в субъекте РФ за январь-июнь 2019 года – 65664 рубля http://www.gks.ru/free_doc/new_site/population/trud/sr-zarplata/ocenka-doxod.htm</w:t>
      </w:r>
    </w:p>
  </w:footnote>
  <w:footnote w:id="30">
    <w:p w:rsidR="00CC224B" w:rsidRPr="009B14EF" w:rsidRDefault="00CC224B" w:rsidP="003E52CD">
      <w:pPr>
        <w:pStyle w:val="a6"/>
        <w:jc w:val="both"/>
      </w:pPr>
      <w:r w:rsidRPr="003E52CD">
        <w:rPr>
          <w:rStyle w:val="a8"/>
        </w:rPr>
        <w:footnoteRef/>
      </w:r>
      <w:r w:rsidRPr="003E52CD">
        <w:t>оценка Росстата средней заработной платы в сфере общего образования в субъекте РФ за январь-июнь 2019 года – 72046 рублей</w:t>
      </w:r>
    </w:p>
  </w:footnote>
  <w:footnote w:id="31">
    <w:p w:rsidR="00CC224B" w:rsidRPr="008B020C" w:rsidRDefault="00CC224B" w:rsidP="00CC224B">
      <w:pPr>
        <w:jc w:val="both"/>
      </w:pPr>
      <w:r w:rsidRPr="008B020C">
        <w:rPr>
          <w:rStyle w:val="a8"/>
        </w:rPr>
        <w:footnoteRef/>
      </w:r>
      <w:r w:rsidRPr="008B020C">
        <w:t xml:space="preserve"> х – данные не публикуются в целях обеспечения конфиденциальности первичных статистических данных, полученных от единственных организаций в соответствующей сфере деятельности в отдельных субъектах Российской Федерации, в соответствии с Федеральным законом от 29.11.07 № 282-ФЗ </w:t>
      </w:r>
      <w:r w:rsidR="003E52CD">
        <w:t>«</w:t>
      </w:r>
      <w:r w:rsidRPr="008B020C">
        <w:t>Об официальном статистическом учете и системе государственной статистики в Российской Федерации</w:t>
      </w:r>
      <w:r w:rsidR="003E52CD">
        <w:t>»</w:t>
      </w:r>
      <w:r w:rsidRPr="008B020C">
        <w:t xml:space="preserve"> (ст.4, ст.9).</w:t>
      </w:r>
    </w:p>
  </w:footnote>
  <w:footnote w:id="32">
    <w:p w:rsidR="00CC224B" w:rsidRPr="008B020C" w:rsidRDefault="00CC224B" w:rsidP="00CC224B">
      <w:pPr>
        <w:pStyle w:val="a6"/>
        <w:jc w:val="both"/>
      </w:pPr>
      <w:r w:rsidRPr="008B020C">
        <w:rPr>
          <w:rStyle w:val="a8"/>
        </w:rPr>
        <w:footnoteRef/>
      </w:r>
      <w:r w:rsidRPr="003E52CD">
        <w:t>оценка Росстата средней заработной платы учителей в субъекте РФ за январь-июнь 2019 года – 90761 рубл</w:t>
      </w:r>
      <w:r w:rsidR="003E52CD" w:rsidRPr="003E52CD">
        <w:t>ь</w:t>
      </w:r>
    </w:p>
  </w:footnote>
  <w:footnote w:id="33">
    <w:p w:rsidR="00CC224B" w:rsidRPr="008D09EC" w:rsidRDefault="00CC224B" w:rsidP="00CC224B">
      <w:pPr>
        <w:pStyle w:val="a6"/>
        <w:jc w:val="both"/>
      </w:pPr>
      <w:r w:rsidRPr="008B020C">
        <w:rPr>
          <w:rStyle w:val="a8"/>
        </w:rPr>
        <w:footnoteRef/>
      </w:r>
      <w:r w:rsidRPr="008B020C">
        <w:t>официальный сайт Пенсионного фонда Российской Федерации</w:t>
      </w:r>
      <w:r w:rsidRPr="003E4425">
        <w:t xml:space="preserve"> </w:t>
      </w:r>
      <w:r w:rsidRPr="008B020C">
        <w:rPr>
          <w:lang w:val="en-US"/>
        </w:rPr>
        <w:t>http</w:t>
      </w:r>
      <w:r w:rsidRPr="003E4425">
        <w:t>://</w:t>
      </w:r>
      <w:r w:rsidRPr="008B020C">
        <w:rPr>
          <w:lang w:val="en-US"/>
        </w:rPr>
        <w:t>www</w:t>
      </w:r>
      <w:r w:rsidRPr="003E4425">
        <w:t>.</w:t>
      </w:r>
      <w:proofErr w:type="spellStart"/>
      <w:r w:rsidRPr="008B020C">
        <w:rPr>
          <w:lang w:val="en-US"/>
        </w:rPr>
        <w:t>pfrf</w:t>
      </w:r>
      <w:proofErr w:type="spellEnd"/>
      <w:r w:rsidRPr="003E4425">
        <w:t>.</w:t>
      </w:r>
      <w:proofErr w:type="spellStart"/>
      <w:r w:rsidRPr="008B020C">
        <w:rPr>
          <w:lang w:val="en-US"/>
        </w:rPr>
        <w:t>ru</w:t>
      </w:r>
      <w:proofErr w:type="spellEnd"/>
      <w:r w:rsidRPr="003E4425">
        <w:t>/</w:t>
      </w:r>
      <w:proofErr w:type="spellStart"/>
      <w:r w:rsidRPr="008B020C">
        <w:rPr>
          <w:lang w:val="en-US"/>
        </w:rPr>
        <w:t>grazdanam</w:t>
      </w:r>
      <w:proofErr w:type="spellEnd"/>
      <w:r w:rsidRPr="003E4425">
        <w:t>/</w:t>
      </w:r>
      <w:proofErr w:type="spellStart"/>
      <w:r w:rsidRPr="008B020C">
        <w:rPr>
          <w:lang w:val="en-US"/>
        </w:rPr>
        <w:t>pensionres</w:t>
      </w:r>
      <w:proofErr w:type="spellEnd"/>
      <w:r w:rsidRPr="008B020C">
        <w:t>/</w:t>
      </w:r>
      <w:r w:rsidRPr="008B020C">
        <w:rPr>
          <w:lang w:val="en-US"/>
        </w:rPr>
        <w:t>index</w:t>
      </w:r>
      <w:r w:rsidRPr="008B020C">
        <w:t>_</w:t>
      </w:r>
      <w:r w:rsidRPr="008B020C">
        <w:rPr>
          <w:lang w:val="en-US"/>
        </w:rPr>
        <w:t>pens</w:t>
      </w:r>
      <w:r w:rsidRPr="008B020C">
        <w:t>/</w:t>
      </w:r>
    </w:p>
  </w:footnote>
  <w:footnote w:id="34">
    <w:p w:rsidR="00541A52" w:rsidRDefault="00541A52" w:rsidP="00BB4DD0">
      <w:pPr>
        <w:pStyle w:val="a6"/>
        <w:jc w:val="both"/>
      </w:pPr>
      <w:r w:rsidRPr="008B020C">
        <w:rPr>
          <w:rStyle w:val="a8"/>
        </w:rPr>
        <w:footnoteRef/>
      </w:r>
      <w:r w:rsidRPr="008B020C">
        <w:t>распоряжение Правительства автономного округа от 14.03.2019 №121-рп «О плане мероприятий по</w:t>
      </w:r>
      <w:r w:rsidRPr="00BB4DD0">
        <w:t xml:space="preserve"> недопущению необоснованного роста платежей граждан за коммунальные услуги и услуги, касающиеся обслуживания жилищного фонда, в Ханты-Мансийском автономном округе – Югре на 2019 год»</w:t>
      </w:r>
    </w:p>
  </w:footnote>
  <w:footnote w:id="35">
    <w:p w:rsidR="00541A52" w:rsidRPr="002B0E5D" w:rsidRDefault="00541A52" w:rsidP="005E0FD8">
      <w:pPr>
        <w:pStyle w:val="a6"/>
        <w:jc w:val="both"/>
      </w:pPr>
      <w:r>
        <w:rPr>
          <w:rStyle w:val="a8"/>
        </w:rPr>
        <w:footnoteRef/>
      </w:r>
      <w:r>
        <w:t>с</w:t>
      </w:r>
      <w:r w:rsidRPr="006A5AC0">
        <w:t>ведения за январь-</w:t>
      </w:r>
      <w:r>
        <w:t xml:space="preserve">май </w:t>
      </w:r>
      <w:r w:rsidRPr="006A5AC0">
        <w:t xml:space="preserve">2019 года </w:t>
      </w:r>
      <w:r>
        <w:t xml:space="preserve">Росстатом </w:t>
      </w:r>
      <w:r w:rsidRPr="006A5AC0">
        <w:t>выгружены из Единого государственного реестра записей актов гражданского состояния (ЕГР ЗАГС).</w:t>
      </w:r>
    </w:p>
  </w:footnote>
  <w:footnote w:id="36">
    <w:p w:rsidR="00541A52" w:rsidRPr="007A220A" w:rsidRDefault="00541A52" w:rsidP="00D0224F">
      <w:pPr>
        <w:pStyle w:val="a6"/>
      </w:pPr>
      <w:r w:rsidRPr="007A220A">
        <w:rPr>
          <w:rStyle w:val="a8"/>
        </w:rPr>
        <w:footnoteRef/>
      </w:r>
      <w:r>
        <w:t xml:space="preserve"> по </w:t>
      </w:r>
      <w:r>
        <w:rPr>
          <w:bCs/>
        </w:rPr>
        <w:t>о</w:t>
      </w:r>
      <w:r w:rsidRPr="007A220A">
        <w:rPr>
          <w:bCs/>
        </w:rPr>
        <w:t>ценк</w:t>
      </w:r>
      <w:r>
        <w:rPr>
          <w:bCs/>
        </w:rPr>
        <w:t>е</w:t>
      </w:r>
      <w:r w:rsidRPr="007A220A">
        <w:rPr>
          <w:bCs/>
        </w:rPr>
        <w:t xml:space="preserve"> </w:t>
      </w:r>
      <w:proofErr w:type="spellStart"/>
      <w:r w:rsidRPr="007A220A">
        <w:rPr>
          <w:bCs/>
        </w:rPr>
        <w:t>Депэкономики</w:t>
      </w:r>
      <w:proofErr w:type="spellEnd"/>
      <w:r w:rsidRPr="007A220A">
        <w:rPr>
          <w:bCs/>
        </w:rPr>
        <w:t xml:space="preserve"> Югры</w:t>
      </w:r>
    </w:p>
  </w:footnote>
  <w:footnote w:id="37">
    <w:p w:rsidR="00541A52" w:rsidRPr="007A220A" w:rsidRDefault="00541A52" w:rsidP="00D0224F">
      <w:pPr>
        <w:pStyle w:val="a6"/>
      </w:pPr>
      <w:r w:rsidRPr="007A220A">
        <w:rPr>
          <w:rStyle w:val="a8"/>
        </w:rPr>
        <w:footnoteRef/>
      </w:r>
      <w:r w:rsidRPr="007A220A">
        <w:t xml:space="preserve"> </w:t>
      </w:r>
      <w:r>
        <w:t>о</w:t>
      </w:r>
      <w:r w:rsidRPr="007A220A">
        <w:t>ценка Росстата</w:t>
      </w:r>
    </w:p>
  </w:footnote>
  <w:footnote w:id="38">
    <w:p w:rsidR="00541A52" w:rsidRPr="006C22DE" w:rsidRDefault="00541A52" w:rsidP="00F94518">
      <w:pPr>
        <w:rPr>
          <w:sz w:val="18"/>
          <w:szCs w:val="18"/>
        </w:rPr>
      </w:pPr>
      <w:r w:rsidRPr="007A220A">
        <w:rPr>
          <w:rStyle w:val="a8"/>
          <w:sz w:val="18"/>
          <w:szCs w:val="18"/>
        </w:rPr>
        <w:footnoteRef/>
      </w:r>
      <w:r w:rsidRPr="006C22DE">
        <w:rPr>
          <w:sz w:val="18"/>
          <w:szCs w:val="18"/>
        </w:rPr>
        <w:t xml:space="preserve"> </w:t>
      </w:r>
      <w:r w:rsidRPr="007A220A">
        <w:rPr>
          <w:lang w:val="en-US"/>
        </w:rPr>
        <w:t>https</w:t>
      </w:r>
      <w:r w:rsidRPr="006C22DE">
        <w:t>://</w:t>
      </w:r>
      <w:r w:rsidRPr="007A220A">
        <w:rPr>
          <w:lang w:val="en-US"/>
        </w:rPr>
        <w:t>data</w:t>
      </w:r>
      <w:r w:rsidRPr="006C22DE">
        <w:t>.</w:t>
      </w:r>
      <w:proofErr w:type="spellStart"/>
      <w:r w:rsidRPr="007A220A">
        <w:rPr>
          <w:lang w:val="en-US"/>
        </w:rPr>
        <w:t>oecd</w:t>
      </w:r>
      <w:proofErr w:type="spellEnd"/>
      <w:r w:rsidRPr="006C22DE">
        <w:t>.</w:t>
      </w:r>
      <w:r w:rsidRPr="007A220A">
        <w:rPr>
          <w:lang w:val="en-US"/>
        </w:rPr>
        <w:t>org</w:t>
      </w:r>
      <w:r w:rsidRPr="006C22DE">
        <w:t>/</w:t>
      </w:r>
      <w:proofErr w:type="spellStart"/>
      <w:r w:rsidRPr="007A220A">
        <w:rPr>
          <w:lang w:val="en-US"/>
        </w:rPr>
        <w:t>unemp</w:t>
      </w:r>
      <w:proofErr w:type="spellEnd"/>
      <w:r w:rsidRPr="006C22DE">
        <w:t>/</w:t>
      </w:r>
      <w:r w:rsidRPr="007A220A">
        <w:rPr>
          <w:lang w:val="en-US"/>
        </w:rPr>
        <w:t>unemployment</w:t>
      </w:r>
      <w:r w:rsidRPr="006C22DE">
        <w:t>-</w:t>
      </w:r>
      <w:r w:rsidRPr="007A220A">
        <w:rPr>
          <w:lang w:val="en-US"/>
        </w:rPr>
        <w:t>rate</w:t>
      </w:r>
      <w:r w:rsidRPr="006C22DE">
        <w:t>.</w:t>
      </w:r>
      <w:proofErr w:type="spellStart"/>
      <w:r w:rsidRPr="007A220A">
        <w:rPr>
          <w:lang w:val="en-US"/>
        </w:rPr>
        <w:t>htm</w:t>
      </w:r>
      <w:proofErr w:type="spellEnd"/>
    </w:p>
  </w:footnote>
  <w:footnote w:id="39">
    <w:p w:rsidR="00541A52" w:rsidRDefault="00541A52">
      <w:pPr>
        <w:pStyle w:val="a6"/>
      </w:pPr>
      <w:r>
        <w:rPr>
          <w:rStyle w:val="a8"/>
        </w:rPr>
        <w:footnoteRef/>
      </w:r>
      <w:r>
        <w:t xml:space="preserve"> п</w:t>
      </w:r>
      <w:r w:rsidRPr="008B020C">
        <w:t xml:space="preserve">о данным </w:t>
      </w:r>
      <w:proofErr w:type="spellStart"/>
      <w:r w:rsidRPr="008B020C">
        <w:t>Д</w:t>
      </w:r>
      <w:r>
        <w:t>ептруда</w:t>
      </w:r>
      <w:proofErr w:type="spellEnd"/>
      <w:r>
        <w:t xml:space="preserve"> и занятости Югры</w:t>
      </w:r>
    </w:p>
  </w:footnote>
  <w:footnote w:id="40">
    <w:p w:rsidR="00541A52" w:rsidRPr="006C22DE" w:rsidRDefault="00541A52" w:rsidP="002C79D4">
      <w:pPr>
        <w:pStyle w:val="a6"/>
        <w:jc w:val="both"/>
      </w:pPr>
      <w:r w:rsidRPr="00151336">
        <w:rPr>
          <w:rStyle w:val="a8"/>
        </w:rPr>
        <w:footnoteRef/>
      </w:r>
      <w:r w:rsidRPr="006C22DE">
        <w:t xml:space="preserve"> </w:t>
      </w:r>
      <w:r w:rsidRPr="002A0249">
        <w:rPr>
          <w:lang w:val="en-US"/>
        </w:rPr>
        <w:t>http</w:t>
      </w:r>
      <w:r w:rsidRPr="006C22DE">
        <w:t>://</w:t>
      </w:r>
      <w:proofErr w:type="spellStart"/>
      <w:r w:rsidRPr="002A0249">
        <w:rPr>
          <w:lang w:val="en-US"/>
        </w:rPr>
        <w:t>shkollegi</w:t>
      </w:r>
      <w:proofErr w:type="spellEnd"/>
      <w:r w:rsidRPr="006C22DE">
        <w:t>.</w:t>
      </w:r>
      <w:proofErr w:type="spellStart"/>
      <w:r w:rsidRPr="002A0249">
        <w:rPr>
          <w:lang w:val="en-US"/>
        </w:rPr>
        <w:t>ru</w:t>
      </w:r>
      <w:proofErr w:type="spellEnd"/>
    </w:p>
  </w:footnote>
  <w:footnote w:id="41">
    <w:p w:rsidR="00541A52" w:rsidRPr="006C22DE" w:rsidRDefault="00541A52" w:rsidP="002C79D4">
      <w:pPr>
        <w:pStyle w:val="a6"/>
      </w:pPr>
      <w:r w:rsidRPr="004A6424">
        <w:rPr>
          <w:rStyle w:val="a8"/>
        </w:rPr>
        <w:footnoteRef/>
      </w:r>
      <w:hyperlink r:id="rId1" w:history="1">
        <w:r w:rsidRPr="002A0249">
          <w:rPr>
            <w:lang w:val="en-US"/>
          </w:rPr>
          <w:t>http</w:t>
        </w:r>
        <w:r w:rsidRPr="006C22DE">
          <w:t>://</w:t>
        </w:r>
        <w:r w:rsidRPr="002A0249">
          <w:rPr>
            <w:lang w:val="en-US"/>
          </w:rPr>
          <w:t>help</w:t>
        </w:r>
        <w:r w:rsidRPr="006C22DE">
          <w:t>.</w:t>
        </w:r>
        <w:proofErr w:type="spellStart"/>
        <w:r w:rsidRPr="002A0249">
          <w:rPr>
            <w:lang w:val="en-US"/>
          </w:rPr>
          <w:t>pfdo</w:t>
        </w:r>
        <w:proofErr w:type="spellEnd"/>
        <w:r w:rsidRPr="006C22DE">
          <w:t>.</w:t>
        </w:r>
        <w:proofErr w:type="spellStart"/>
        <w:r w:rsidRPr="002A0249">
          <w:rPr>
            <w:lang w:val="en-US"/>
          </w:rPr>
          <w:t>ru</w:t>
        </w:r>
        <w:proofErr w:type="spellEnd"/>
      </w:hyperlink>
    </w:p>
  </w:footnote>
  <w:footnote w:id="42">
    <w:p w:rsidR="00541A52" w:rsidRDefault="00541A52">
      <w:pPr>
        <w:pStyle w:val="a6"/>
      </w:pPr>
      <w:r>
        <w:rPr>
          <w:rStyle w:val="a8"/>
        </w:rPr>
        <w:footnoteRef/>
      </w:r>
      <w:r>
        <w:t xml:space="preserve"> по данным </w:t>
      </w:r>
      <w:proofErr w:type="spellStart"/>
      <w:r>
        <w:t>Депздрав</w:t>
      </w:r>
      <w:proofErr w:type="spellEnd"/>
      <w:r>
        <w:t xml:space="preserve"> Югры</w:t>
      </w:r>
    </w:p>
  </w:footnote>
  <w:footnote w:id="43">
    <w:p w:rsidR="00541A52" w:rsidRDefault="00541A52" w:rsidP="002C58FA">
      <w:pPr>
        <w:pStyle w:val="a6"/>
      </w:pPr>
      <w:r>
        <w:rPr>
          <w:rStyle w:val="a8"/>
        </w:rPr>
        <w:footnoteRef/>
      </w:r>
      <w:r>
        <w:t xml:space="preserve"> распоряжение Правительства РФ от 03.07.1996 № 1063-р «О Социальных нормативах и нормах»</w:t>
      </w:r>
    </w:p>
  </w:footnote>
  <w:footnote w:id="44">
    <w:p w:rsidR="00541A52" w:rsidRPr="00A77CA8" w:rsidRDefault="00541A52" w:rsidP="00A77CA8">
      <w:pPr>
        <w:pStyle w:val="a6"/>
        <w:jc w:val="both"/>
      </w:pPr>
      <w:r>
        <w:rPr>
          <w:rStyle w:val="a8"/>
        </w:rPr>
        <w:footnoteRef/>
      </w:r>
      <w:r>
        <w:t xml:space="preserve">рейтинг ГТО с учётом работы за </w:t>
      </w:r>
      <w:r>
        <w:rPr>
          <w:lang w:val="en-US"/>
        </w:rPr>
        <w:t>II</w:t>
      </w:r>
      <w:r>
        <w:t xml:space="preserve"> квартал 2019 года </w:t>
      </w:r>
      <w:r w:rsidRPr="00A77CA8">
        <w:rPr>
          <w:lang w:val="en-US"/>
        </w:rPr>
        <w:t>https</w:t>
      </w:r>
      <w:r w:rsidRPr="00A77CA8">
        <w:t>://</w:t>
      </w:r>
      <w:proofErr w:type="spellStart"/>
      <w:r w:rsidRPr="00A77CA8">
        <w:rPr>
          <w:lang w:val="en-US"/>
        </w:rPr>
        <w:t>gto</w:t>
      </w:r>
      <w:proofErr w:type="spellEnd"/>
      <w:r w:rsidRPr="00A77CA8">
        <w:t>.</w:t>
      </w:r>
      <w:proofErr w:type="spellStart"/>
      <w:r w:rsidRPr="00A77CA8">
        <w:rPr>
          <w:lang w:val="en-US"/>
        </w:rPr>
        <w:t>ru</w:t>
      </w:r>
      <w:proofErr w:type="spellEnd"/>
      <w:r w:rsidRPr="00A77CA8">
        <w:t>/</w:t>
      </w:r>
      <w:r w:rsidRPr="00A77CA8">
        <w:rPr>
          <w:lang w:val="en-US"/>
        </w:rPr>
        <w:t>files</w:t>
      </w:r>
      <w:r w:rsidRPr="00A77CA8">
        <w:t>/</w:t>
      </w:r>
      <w:r w:rsidRPr="00A77CA8">
        <w:rPr>
          <w:lang w:val="en-US"/>
        </w:rPr>
        <w:t>uploads</w:t>
      </w:r>
      <w:r w:rsidRPr="00A77CA8">
        <w:t>/</w:t>
      </w:r>
      <w:r w:rsidRPr="00A77CA8">
        <w:rPr>
          <w:lang w:val="en-US"/>
        </w:rPr>
        <w:t>documents</w:t>
      </w:r>
      <w:r w:rsidRPr="00A77CA8">
        <w:t>/</w:t>
      </w:r>
      <w:r>
        <w:t xml:space="preserve"> </w:t>
      </w:r>
      <w:r w:rsidRPr="00A77CA8">
        <w:t>5</w:t>
      </w:r>
      <w:r w:rsidRPr="00A77CA8">
        <w:rPr>
          <w:lang w:val="en-US"/>
        </w:rPr>
        <w:t>d</w:t>
      </w:r>
      <w:r w:rsidRPr="00A77CA8">
        <w:t>413</w:t>
      </w:r>
      <w:r w:rsidRPr="00A77CA8">
        <w:rPr>
          <w:lang w:val="en-US"/>
        </w:rPr>
        <w:t>be</w:t>
      </w:r>
      <w:r w:rsidRPr="00A77CA8">
        <w:t>5752</w:t>
      </w:r>
      <w:r w:rsidRPr="00A77CA8">
        <w:rPr>
          <w:lang w:val="en-US"/>
        </w:rPr>
        <w:t>cc</w:t>
      </w:r>
      <w:r w:rsidRPr="00A77CA8">
        <w:t>.</w:t>
      </w:r>
      <w:r w:rsidRPr="00A77CA8">
        <w:rPr>
          <w:lang w:val="en-US"/>
        </w:rPr>
        <w:t>pdf</w:t>
      </w:r>
    </w:p>
  </w:footnote>
  <w:footnote w:id="45">
    <w:p w:rsidR="00541A52" w:rsidRPr="005E072F" w:rsidRDefault="00541A52" w:rsidP="00A77CA8">
      <w:pPr>
        <w:pStyle w:val="a6"/>
        <w:jc w:val="both"/>
      </w:pPr>
      <w:r w:rsidRPr="005E072F">
        <w:rPr>
          <w:rStyle w:val="a8"/>
        </w:rPr>
        <w:footnoteRef/>
      </w:r>
      <w:r w:rsidRPr="005E072F">
        <w:t xml:space="preserve"> данные Росстата по состоянию на 01.01.2019</w:t>
      </w:r>
    </w:p>
  </w:footnote>
  <w:footnote w:id="46">
    <w:p w:rsidR="00541A52" w:rsidRDefault="00541A52">
      <w:pPr>
        <w:pStyle w:val="a6"/>
      </w:pPr>
      <w:r>
        <w:rPr>
          <w:rStyle w:val="a8"/>
        </w:rPr>
        <w:footnoteRef/>
      </w:r>
      <w:r>
        <w:t xml:space="preserve"> по информации Уральского таможенного управления Федеральной таможенной службы России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4092169"/>
      <w:docPartObj>
        <w:docPartGallery w:val="Page Numbers (Top of Page)"/>
        <w:docPartUnique/>
      </w:docPartObj>
    </w:sdtPr>
    <w:sdtEndPr/>
    <w:sdtContent>
      <w:p w:rsidR="00541A52" w:rsidRDefault="00541A52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5992">
          <w:rPr>
            <w:noProof/>
          </w:rPr>
          <w:t>3099</w:t>
        </w:r>
        <w:r>
          <w:fldChar w:fldCharType="end"/>
        </w:r>
      </w:p>
    </w:sdtContent>
  </w:sdt>
  <w:p w:rsidR="00541A52" w:rsidRDefault="00541A52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7545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3732" w:hanging="432"/>
      </w:pPr>
    </w:lvl>
    <w:lvl w:ilvl="1">
      <w:start w:val="1"/>
      <w:numFmt w:val="decimal"/>
      <w:pStyle w:val="2"/>
      <w:lvlText w:val="%1.%2"/>
      <w:lvlJc w:val="left"/>
      <w:pPr>
        <w:ind w:left="8876" w:hanging="576"/>
      </w:pPr>
    </w:lvl>
    <w:lvl w:ilvl="2">
      <w:start w:val="1"/>
      <w:numFmt w:val="decimal"/>
      <w:pStyle w:val="3"/>
      <w:lvlText w:val="%1.%2.%3"/>
      <w:lvlJc w:val="left"/>
      <w:pPr>
        <w:ind w:left="4020" w:hanging="720"/>
      </w:pPr>
    </w:lvl>
    <w:lvl w:ilvl="3">
      <w:start w:val="1"/>
      <w:numFmt w:val="decimal"/>
      <w:pStyle w:val="4"/>
      <w:lvlText w:val="%1.%2.%3.%4"/>
      <w:lvlJc w:val="left"/>
      <w:pPr>
        <w:ind w:left="4164" w:hanging="864"/>
      </w:pPr>
    </w:lvl>
    <w:lvl w:ilvl="4">
      <w:start w:val="1"/>
      <w:numFmt w:val="decimal"/>
      <w:pStyle w:val="5"/>
      <w:lvlText w:val="%1.%2.%3.%4.%5"/>
      <w:lvlJc w:val="left"/>
      <w:pPr>
        <w:ind w:left="4308" w:hanging="1008"/>
      </w:pPr>
    </w:lvl>
    <w:lvl w:ilvl="5">
      <w:start w:val="1"/>
      <w:numFmt w:val="decimal"/>
      <w:pStyle w:val="6"/>
      <w:lvlText w:val="%1.%2.%3.%4.%5.%6"/>
      <w:lvlJc w:val="left"/>
      <w:pPr>
        <w:ind w:left="4452" w:hanging="1152"/>
      </w:pPr>
    </w:lvl>
    <w:lvl w:ilvl="6">
      <w:start w:val="1"/>
      <w:numFmt w:val="decimal"/>
      <w:pStyle w:val="7"/>
      <w:lvlText w:val="%1.%2.%3.%4.%5.%6.%7"/>
      <w:lvlJc w:val="left"/>
      <w:pPr>
        <w:ind w:left="45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47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4884" w:hanging="1584"/>
      </w:pPr>
    </w:lvl>
  </w:abstractNum>
  <w:abstractNum w:abstractNumId="1">
    <w:nsid w:val="0B79574E"/>
    <w:multiLevelType w:val="hybridMultilevel"/>
    <w:tmpl w:val="09E86D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6684014"/>
    <w:multiLevelType w:val="hybridMultilevel"/>
    <w:tmpl w:val="DBDC10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394231E"/>
    <w:multiLevelType w:val="hybridMultilevel"/>
    <w:tmpl w:val="F8AA5E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9C65AE8"/>
    <w:multiLevelType w:val="hybridMultilevel"/>
    <w:tmpl w:val="60D07E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CAE462D"/>
    <w:multiLevelType w:val="hybridMultilevel"/>
    <w:tmpl w:val="C16CBC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FA5578D"/>
    <w:multiLevelType w:val="hybridMultilevel"/>
    <w:tmpl w:val="2B14F0C4"/>
    <w:lvl w:ilvl="0" w:tplc="F6D6F8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FB37B20"/>
    <w:multiLevelType w:val="hybridMultilevel"/>
    <w:tmpl w:val="9FE813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A736DB0"/>
    <w:multiLevelType w:val="hybridMultilevel"/>
    <w:tmpl w:val="97EA55FA"/>
    <w:lvl w:ilvl="0" w:tplc="04190001">
      <w:start w:val="1"/>
      <w:numFmt w:val="bullet"/>
      <w:lvlText w:val=""/>
      <w:lvlJc w:val="left"/>
      <w:pPr>
        <w:ind w:left="23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4" w:hanging="360"/>
      </w:pPr>
      <w:rPr>
        <w:rFonts w:ascii="Wingdings" w:hAnsi="Wingdings" w:hint="default"/>
      </w:rPr>
    </w:lvl>
  </w:abstractNum>
  <w:abstractNum w:abstractNumId="9">
    <w:nsid w:val="53220FDA"/>
    <w:multiLevelType w:val="hybridMultilevel"/>
    <w:tmpl w:val="92F65D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C877079"/>
    <w:multiLevelType w:val="hybridMultilevel"/>
    <w:tmpl w:val="3DB015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84A2A12"/>
    <w:multiLevelType w:val="hybridMultilevel"/>
    <w:tmpl w:val="7F0EB6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79F87FD2"/>
    <w:multiLevelType w:val="hybridMultilevel"/>
    <w:tmpl w:val="D7D8F29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7"/>
  </w:num>
  <w:num w:numId="5">
    <w:abstractNumId w:val="12"/>
  </w:num>
  <w:num w:numId="6">
    <w:abstractNumId w:val="1"/>
  </w:num>
  <w:num w:numId="7">
    <w:abstractNumId w:val="9"/>
  </w:num>
  <w:num w:numId="8">
    <w:abstractNumId w:val="11"/>
  </w:num>
  <w:num w:numId="9">
    <w:abstractNumId w:val="3"/>
  </w:num>
  <w:num w:numId="10">
    <w:abstractNumId w:val="4"/>
  </w:num>
  <w:num w:numId="11">
    <w:abstractNumId w:val="10"/>
  </w:num>
  <w:num w:numId="12">
    <w:abstractNumId w:val="5"/>
  </w:num>
  <w:num w:numId="13">
    <w:abstractNumId w:val="6"/>
  </w:num>
  <w:num w:numId="14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CC2"/>
    <w:rsid w:val="00003F17"/>
    <w:rsid w:val="000069A0"/>
    <w:rsid w:val="0000781E"/>
    <w:rsid w:val="00007CCE"/>
    <w:rsid w:val="0001073F"/>
    <w:rsid w:val="00013FB8"/>
    <w:rsid w:val="00015217"/>
    <w:rsid w:val="000161B6"/>
    <w:rsid w:val="000161B9"/>
    <w:rsid w:val="00017F1C"/>
    <w:rsid w:val="000264BF"/>
    <w:rsid w:val="000308DE"/>
    <w:rsid w:val="000319F1"/>
    <w:rsid w:val="000331BF"/>
    <w:rsid w:val="0003685E"/>
    <w:rsid w:val="00037850"/>
    <w:rsid w:val="00040B15"/>
    <w:rsid w:val="00042AD0"/>
    <w:rsid w:val="000431F4"/>
    <w:rsid w:val="0004343C"/>
    <w:rsid w:val="00044A79"/>
    <w:rsid w:val="000472E2"/>
    <w:rsid w:val="00047C6D"/>
    <w:rsid w:val="000502D1"/>
    <w:rsid w:val="00052757"/>
    <w:rsid w:val="00052843"/>
    <w:rsid w:val="00054466"/>
    <w:rsid w:val="00054CBE"/>
    <w:rsid w:val="00054CE2"/>
    <w:rsid w:val="000564DB"/>
    <w:rsid w:val="0005714F"/>
    <w:rsid w:val="000613C0"/>
    <w:rsid w:val="0006161B"/>
    <w:rsid w:val="00061E8D"/>
    <w:rsid w:val="000655AF"/>
    <w:rsid w:val="00073D0A"/>
    <w:rsid w:val="00075217"/>
    <w:rsid w:val="00075A94"/>
    <w:rsid w:val="000776EA"/>
    <w:rsid w:val="00077EAF"/>
    <w:rsid w:val="00080B97"/>
    <w:rsid w:val="00082AC9"/>
    <w:rsid w:val="00084EB2"/>
    <w:rsid w:val="00093FC5"/>
    <w:rsid w:val="0009446E"/>
    <w:rsid w:val="00094A6D"/>
    <w:rsid w:val="00096140"/>
    <w:rsid w:val="00096378"/>
    <w:rsid w:val="000A1A92"/>
    <w:rsid w:val="000A3221"/>
    <w:rsid w:val="000A7A5C"/>
    <w:rsid w:val="000B1362"/>
    <w:rsid w:val="000B17E7"/>
    <w:rsid w:val="000B1F3C"/>
    <w:rsid w:val="000B26FD"/>
    <w:rsid w:val="000C0EFF"/>
    <w:rsid w:val="000C2141"/>
    <w:rsid w:val="000C70CA"/>
    <w:rsid w:val="000C77BC"/>
    <w:rsid w:val="000D094C"/>
    <w:rsid w:val="000D2020"/>
    <w:rsid w:val="000D2ECC"/>
    <w:rsid w:val="000D3C32"/>
    <w:rsid w:val="000D4432"/>
    <w:rsid w:val="000D5052"/>
    <w:rsid w:val="000D5123"/>
    <w:rsid w:val="000D55DB"/>
    <w:rsid w:val="000D6412"/>
    <w:rsid w:val="000D7347"/>
    <w:rsid w:val="000D79C1"/>
    <w:rsid w:val="000E0EE2"/>
    <w:rsid w:val="000E3590"/>
    <w:rsid w:val="000E444C"/>
    <w:rsid w:val="000E4681"/>
    <w:rsid w:val="000E4D4E"/>
    <w:rsid w:val="000E54D1"/>
    <w:rsid w:val="000E6F06"/>
    <w:rsid w:val="000F022C"/>
    <w:rsid w:val="000F0B4C"/>
    <w:rsid w:val="000F128C"/>
    <w:rsid w:val="000F1495"/>
    <w:rsid w:val="000F3944"/>
    <w:rsid w:val="000F4AD0"/>
    <w:rsid w:val="000F5023"/>
    <w:rsid w:val="000F59E5"/>
    <w:rsid w:val="000F5CFA"/>
    <w:rsid w:val="000F735A"/>
    <w:rsid w:val="00100887"/>
    <w:rsid w:val="001009DD"/>
    <w:rsid w:val="00101029"/>
    <w:rsid w:val="00102541"/>
    <w:rsid w:val="00102A71"/>
    <w:rsid w:val="0010621B"/>
    <w:rsid w:val="00107A9B"/>
    <w:rsid w:val="0011013B"/>
    <w:rsid w:val="0011017E"/>
    <w:rsid w:val="001102DE"/>
    <w:rsid w:val="001105E3"/>
    <w:rsid w:val="00110A58"/>
    <w:rsid w:val="00110D1D"/>
    <w:rsid w:val="001113AB"/>
    <w:rsid w:val="00112204"/>
    <w:rsid w:val="00112D49"/>
    <w:rsid w:val="00115151"/>
    <w:rsid w:val="00115F33"/>
    <w:rsid w:val="00116619"/>
    <w:rsid w:val="00117EA5"/>
    <w:rsid w:val="00121187"/>
    <w:rsid w:val="00122206"/>
    <w:rsid w:val="00122495"/>
    <w:rsid w:val="00125385"/>
    <w:rsid w:val="0012540B"/>
    <w:rsid w:val="001263E9"/>
    <w:rsid w:val="001274B0"/>
    <w:rsid w:val="001316C6"/>
    <w:rsid w:val="00132144"/>
    <w:rsid w:val="00133B89"/>
    <w:rsid w:val="0013521F"/>
    <w:rsid w:val="001411BB"/>
    <w:rsid w:val="001438B9"/>
    <w:rsid w:val="00144468"/>
    <w:rsid w:val="001449DE"/>
    <w:rsid w:val="001471DB"/>
    <w:rsid w:val="001507DA"/>
    <w:rsid w:val="00151336"/>
    <w:rsid w:val="001525BD"/>
    <w:rsid w:val="00152999"/>
    <w:rsid w:val="001541FA"/>
    <w:rsid w:val="0015538F"/>
    <w:rsid w:val="00156972"/>
    <w:rsid w:val="0015728D"/>
    <w:rsid w:val="0015775D"/>
    <w:rsid w:val="00157C0C"/>
    <w:rsid w:val="00161357"/>
    <w:rsid w:val="00161F4F"/>
    <w:rsid w:val="00163249"/>
    <w:rsid w:val="0016479E"/>
    <w:rsid w:val="00166495"/>
    <w:rsid w:val="00166C51"/>
    <w:rsid w:val="001675B9"/>
    <w:rsid w:val="00167700"/>
    <w:rsid w:val="00171455"/>
    <w:rsid w:val="00172249"/>
    <w:rsid w:val="00173D00"/>
    <w:rsid w:val="001807AF"/>
    <w:rsid w:val="00182275"/>
    <w:rsid w:val="0018234A"/>
    <w:rsid w:val="00182B40"/>
    <w:rsid w:val="00184316"/>
    <w:rsid w:val="00186EF5"/>
    <w:rsid w:val="00193A15"/>
    <w:rsid w:val="00195CAA"/>
    <w:rsid w:val="00196172"/>
    <w:rsid w:val="00196413"/>
    <w:rsid w:val="0019687C"/>
    <w:rsid w:val="00197D4D"/>
    <w:rsid w:val="001A1368"/>
    <w:rsid w:val="001A1957"/>
    <w:rsid w:val="001A2927"/>
    <w:rsid w:val="001A3181"/>
    <w:rsid w:val="001A51DC"/>
    <w:rsid w:val="001B044C"/>
    <w:rsid w:val="001B0903"/>
    <w:rsid w:val="001B0ACC"/>
    <w:rsid w:val="001B1949"/>
    <w:rsid w:val="001B2EFF"/>
    <w:rsid w:val="001B377D"/>
    <w:rsid w:val="001B58EA"/>
    <w:rsid w:val="001B6E70"/>
    <w:rsid w:val="001B6EBB"/>
    <w:rsid w:val="001B7AEB"/>
    <w:rsid w:val="001C025D"/>
    <w:rsid w:val="001C07FF"/>
    <w:rsid w:val="001C0A89"/>
    <w:rsid w:val="001C0F12"/>
    <w:rsid w:val="001C3AD8"/>
    <w:rsid w:val="001C47EB"/>
    <w:rsid w:val="001C5AC4"/>
    <w:rsid w:val="001C6368"/>
    <w:rsid w:val="001C6416"/>
    <w:rsid w:val="001D1A50"/>
    <w:rsid w:val="001D6783"/>
    <w:rsid w:val="001D6BC3"/>
    <w:rsid w:val="001D70B5"/>
    <w:rsid w:val="001E1E37"/>
    <w:rsid w:val="001E2334"/>
    <w:rsid w:val="001E4ACF"/>
    <w:rsid w:val="001E69BC"/>
    <w:rsid w:val="001E6A52"/>
    <w:rsid w:val="001E6F19"/>
    <w:rsid w:val="001F0914"/>
    <w:rsid w:val="001F0FA8"/>
    <w:rsid w:val="001F40D5"/>
    <w:rsid w:val="001F44E6"/>
    <w:rsid w:val="001F469D"/>
    <w:rsid w:val="001F4ABE"/>
    <w:rsid w:val="001F4BB2"/>
    <w:rsid w:val="001F69D5"/>
    <w:rsid w:val="001F7A3C"/>
    <w:rsid w:val="0020147A"/>
    <w:rsid w:val="002046DE"/>
    <w:rsid w:val="002053D3"/>
    <w:rsid w:val="002104A4"/>
    <w:rsid w:val="00212107"/>
    <w:rsid w:val="00212B5B"/>
    <w:rsid w:val="002130EA"/>
    <w:rsid w:val="0021442A"/>
    <w:rsid w:val="0021470A"/>
    <w:rsid w:val="00214ACC"/>
    <w:rsid w:val="00217632"/>
    <w:rsid w:val="002203D1"/>
    <w:rsid w:val="002206FD"/>
    <w:rsid w:val="00220D38"/>
    <w:rsid w:val="00222C3D"/>
    <w:rsid w:val="0022516B"/>
    <w:rsid w:val="002253CE"/>
    <w:rsid w:val="00227148"/>
    <w:rsid w:val="00230343"/>
    <w:rsid w:val="00231F12"/>
    <w:rsid w:val="002322A6"/>
    <w:rsid w:val="002331A7"/>
    <w:rsid w:val="00233A0B"/>
    <w:rsid w:val="002341E3"/>
    <w:rsid w:val="00240172"/>
    <w:rsid w:val="00245E43"/>
    <w:rsid w:val="00247287"/>
    <w:rsid w:val="00250C5F"/>
    <w:rsid w:val="00251822"/>
    <w:rsid w:val="00251CBC"/>
    <w:rsid w:val="00254CB0"/>
    <w:rsid w:val="00260BC1"/>
    <w:rsid w:val="00260D64"/>
    <w:rsid w:val="0026210B"/>
    <w:rsid w:val="0026247A"/>
    <w:rsid w:val="00265750"/>
    <w:rsid w:val="00265802"/>
    <w:rsid w:val="0026667F"/>
    <w:rsid w:val="002724D0"/>
    <w:rsid w:val="00273020"/>
    <w:rsid w:val="00275522"/>
    <w:rsid w:val="00275C07"/>
    <w:rsid w:val="0027665C"/>
    <w:rsid w:val="00276818"/>
    <w:rsid w:val="002778F8"/>
    <w:rsid w:val="00281F65"/>
    <w:rsid w:val="002855DB"/>
    <w:rsid w:val="0028638F"/>
    <w:rsid w:val="00286E49"/>
    <w:rsid w:val="00287BA6"/>
    <w:rsid w:val="002926D7"/>
    <w:rsid w:val="0029319D"/>
    <w:rsid w:val="002A0249"/>
    <w:rsid w:val="002A185F"/>
    <w:rsid w:val="002A2931"/>
    <w:rsid w:val="002A2ACD"/>
    <w:rsid w:val="002A2BF7"/>
    <w:rsid w:val="002A3B1C"/>
    <w:rsid w:val="002A3FA9"/>
    <w:rsid w:val="002A535A"/>
    <w:rsid w:val="002A67ED"/>
    <w:rsid w:val="002A7A86"/>
    <w:rsid w:val="002B0B36"/>
    <w:rsid w:val="002B0E5D"/>
    <w:rsid w:val="002B13D6"/>
    <w:rsid w:val="002B278E"/>
    <w:rsid w:val="002B4B9F"/>
    <w:rsid w:val="002B5AE7"/>
    <w:rsid w:val="002B6EE9"/>
    <w:rsid w:val="002B7DB8"/>
    <w:rsid w:val="002C03F1"/>
    <w:rsid w:val="002C0769"/>
    <w:rsid w:val="002C156E"/>
    <w:rsid w:val="002C58FA"/>
    <w:rsid w:val="002C5917"/>
    <w:rsid w:val="002C79D4"/>
    <w:rsid w:val="002D0140"/>
    <w:rsid w:val="002D0A57"/>
    <w:rsid w:val="002D5CA1"/>
    <w:rsid w:val="002D66B7"/>
    <w:rsid w:val="002D6DB3"/>
    <w:rsid w:val="002D7624"/>
    <w:rsid w:val="002E076F"/>
    <w:rsid w:val="002E29D0"/>
    <w:rsid w:val="002E33D3"/>
    <w:rsid w:val="002E354E"/>
    <w:rsid w:val="002E36E8"/>
    <w:rsid w:val="002E38D8"/>
    <w:rsid w:val="002E4459"/>
    <w:rsid w:val="002E5883"/>
    <w:rsid w:val="002F1D6A"/>
    <w:rsid w:val="002F260D"/>
    <w:rsid w:val="002F4C01"/>
    <w:rsid w:val="002F7226"/>
    <w:rsid w:val="002F79CC"/>
    <w:rsid w:val="00300838"/>
    <w:rsid w:val="00301A84"/>
    <w:rsid w:val="00305FFE"/>
    <w:rsid w:val="0030618B"/>
    <w:rsid w:val="0031132B"/>
    <w:rsid w:val="003124A8"/>
    <w:rsid w:val="003134B0"/>
    <w:rsid w:val="00313E2E"/>
    <w:rsid w:val="00315A5E"/>
    <w:rsid w:val="003174B5"/>
    <w:rsid w:val="00321072"/>
    <w:rsid w:val="00322739"/>
    <w:rsid w:val="00323D86"/>
    <w:rsid w:val="003243B6"/>
    <w:rsid w:val="00325934"/>
    <w:rsid w:val="00325952"/>
    <w:rsid w:val="003267D9"/>
    <w:rsid w:val="00326CD3"/>
    <w:rsid w:val="00333E0D"/>
    <w:rsid w:val="00334F7D"/>
    <w:rsid w:val="00337905"/>
    <w:rsid w:val="00337918"/>
    <w:rsid w:val="00341413"/>
    <w:rsid w:val="003422CA"/>
    <w:rsid w:val="003443DC"/>
    <w:rsid w:val="00347036"/>
    <w:rsid w:val="00351864"/>
    <w:rsid w:val="00351CD2"/>
    <w:rsid w:val="0035203D"/>
    <w:rsid w:val="00354F20"/>
    <w:rsid w:val="00355A85"/>
    <w:rsid w:val="00356168"/>
    <w:rsid w:val="00357D57"/>
    <w:rsid w:val="0036416F"/>
    <w:rsid w:val="003673ED"/>
    <w:rsid w:val="00372035"/>
    <w:rsid w:val="00372CD0"/>
    <w:rsid w:val="003736FF"/>
    <w:rsid w:val="00373A7A"/>
    <w:rsid w:val="00373F1E"/>
    <w:rsid w:val="00374C99"/>
    <w:rsid w:val="00376BF2"/>
    <w:rsid w:val="00377940"/>
    <w:rsid w:val="003843A5"/>
    <w:rsid w:val="0038546B"/>
    <w:rsid w:val="00385B3E"/>
    <w:rsid w:val="00386737"/>
    <w:rsid w:val="00393548"/>
    <w:rsid w:val="00393F6D"/>
    <w:rsid w:val="003945F8"/>
    <w:rsid w:val="00394BF6"/>
    <w:rsid w:val="00394DCB"/>
    <w:rsid w:val="00396B4C"/>
    <w:rsid w:val="00396CF2"/>
    <w:rsid w:val="003A02CD"/>
    <w:rsid w:val="003A16FC"/>
    <w:rsid w:val="003A1B84"/>
    <w:rsid w:val="003A2430"/>
    <w:rsid w:val="003A2670"/>
    <w:rsid w:val="003A2E24"/>
    <w:rsid w:val="003B044A"/>
    <w:rsid w:val="003B1B1E"/>
    <w:rsid w:val="003B2332"/>
    <w:rsid w:val="003B2A89"/>
    <w:rsid w:val="003B47D2"/>
    <w:rsid w:val="003B4B28"/>
    <w:rsid w:val="003C02EB"/>
    <w:rsid w:val="003C1724"/>
    <w:rsid w:val="003C369E"/>
    <w:rsid w:val="003D0004"/>
    <w:rsid w:val="003D1950"/>
    <w:rsid w:val="003D2ED7"/>
    <w:rsid w:val="003D4628"/>
    <w:rsid w:val="003D4903"/>
    <w:rsid w:val="003D49D0"/>
    <w:rsid w:val="003D4F96"/>
    <w:rsid w:val="003E2627"/>
    <w:rsid w:val="003E2E99"/>
    <w:rsid w:val="003E4425"/>
    <w:rsid w:val="003E4D98"/>
    <w:rsid w:val="003E5234"/>
    <w:rsid w:val="003E52CD"/>
    <w:rsid w:val="003E7147"/>
    <w:rsid w:val="003F01A4"/>
    <w:rsid w:val="003F1168"/>
    <w:rsid w:val="003F607B"/>
    <w:rsid w:val="003F72F6"/>
    <w:rsid w:val="00401E4F"/>
    <w:rsid w:val="00404405"/>
    <w:rsid w:val="00407183"/>
    <w:rsid w:val="00411A56"/>
    <w:rsid w:val="00411B05"/>
    <w:rsid w:val="00413349"/>
    <w:rsid w:val="00413D9F"/>
    <w:rsid w:val="00415EB6"/>
    <w:rsid w:val="00420AB0"/>
    <w:rsid w:val="00420BE1"/>
    <w:rsid w:val="00421243"/>
    <w:rsid w:val="004235C2"/>
    <w:rsid w:val="004257D4"/>
    <w:rsid w:val="00427E88"/>
    <w:rsid w:val="00430AE0"/>
    <w:rsid w:val="00430BF0"/>
    <w:rsid w:val="00432A73"/>
    <w:rsid w:val="00433AAE"/>
    <w:rsid w:val="00435564"/>
    <w:rsid w:val="004360D7"/>
    <w:rsid w:val="004402D4"/>
    <w:rsid w:val="00440BF3"/>
    <w:rsid w:val="00440F96"/>
    <w:rsid w:val="004440E0"/>
    <w:rsid w:val="004443EF"/>
    <w:rsid w:val="00450101"/>
    <w:rsid w:val="00450994"/>
    <w:rsid w:val="00451238"/>
    <w:rsid w:val="00452941"/>
    <w:rsid w:val="00452CC2"/>
    <w:rsid w:val="00452EAD"/>
    <w:rsid w:val="0045445E"/>
    <w:rsid w:val="00455B18"/>
    <w:rsid w:val="00456C47"/>
    <w:rsid w:val="00460EDB"/>
    <w:rsid w:val="00462D23"/>
    <w:rsid w:val="0046351E"/>
    <w:rsid w:val="00467A58"/>
    <w:rsid w:val="00470BE3"/>
    <w:rsid w:val="004730A5"/>
    <w:rsid w:val="00473DC3"/>
    <w:rsid w:val="00473E9D"/>
    <w:rsid w:val="004768D3"/>
    <w:rsid w:val="00477705"/>
    <w:rsid w:val="00483111"/>
    <w:rsid w:val="00484036"/>
    <w:rsid w:val="00484204"/>
    <w:rsid w:val="0048570C"/>
    <w:rsid w:val="00485F68"/>
    <w:rsid w:val="00490781"/>
    <w:rsid w:val="004921CF"/>
    <w:rsid w:val="00492744"/>
    <w:rsid w:val="00492800"/>
    <w:rsid w:val="00492A8C"/>
    <w:rsid w:val="004938F6"/>
    <w:rsid w:val="004956A5"/>
    <w:rsid w:val="004970C3"/>
    <w:rsid w:val="004A00CD"/>
    <w:rsid w:val="004A34FF"/>
    <w:rsid w:val="004A4205"/>
    <w:rsid w:val="004A6424"/>
    <w:rsid w:val="004B15BE"/>
    <w:rsid w:val="004B1878"/>
    <w:rsid w:val="004B29E5"/>
    <w:rsid w:val="004B2A82"/>
    <w:rsid w:val="004B3296"/>
    <w:rsid w:val="004B55E2"/>
    <w:rsid w:val="004B6FA1"/>
    <w:rsid w:val="004B7107"/>
    <w:rsid w:val="004B7CB6"/>
    <w:rsid w:val="004C0C2B"/>
    <w:rsid w:val="004C0E6D"/>
    <w:rsid w:val="004C176B"/>
    <w:rsid w:val="004C4EA1"/>
    <w:rsid w:val="004C7205"/>
    <w:rsid w:val="004D13A8"/>
    <w:rsid w:val="004D1800"/>
    <w:rsid w:val="004D2C27"/>
    <w:rsid w:val="004D66C1"/>
    <w:rsid w:val="004D6C67"/>
    <w:rsid w:val="004E0F36"/>
    <w:rsid w:val="004E1006"/>
    <w:rsid w:val="004E445B"/>
    <w:rsid w:val="004E7615"/>
    <w:rsid w:val="004F19A9"/>
    <w:rsid w:val="004F2F2E"/>
    <w:rsid w:val="004F743B"/>
    <w:rsid w:val="0050187A"/>
    <w:rsid w:val="00501C84"/>
    <w:rsid w:val="00503486"/>
    <w:rsid w:val="00503CC4"/>
    <w:rsid w:val="0050671F"/>
    <w:rsid w:val="00511BAA"/>
    <w:rsid w:val="00512B39"/>
    <w:rsid w:val="0051561A"/>
    <w:rsid w:val="00515992"/>
    <w:rsid w:val="00516891"/>
    <w:rsid w:val="00516A82"/>
    <w:rsid w:val="005269BF"/>
    <w:rsid w:val="00531A74"/>
    <w:rsid w:val="005332E6"/>
    <w:rsid w:val="005351C7"/>
    <w:rsid w:val="00535E43"/>
    <w:rsid w:val="005361E2"/>
    <w:rsid w:val="00540F19"/>
    <w:rsid w:val="0054138F"/>
    <w:rsid w:val="00541A52"/>
    <w:rsid w:val="00541AAC"/>
    <w:rsid w:val="0055127E"/>
    <w:rsid w:val="00551D68"/>
    <w:rsid w:val="00553208"/>
    <w:rsid w:val="0055456B"/>
    <w:rsid w:val="00554619"/>
    <w:rsid w:val="00554BB4"/>
    <w:rsid w:val="00554DE3"/>
    <w:rsid w:val="00556F0F"/>
    <w:rsid w:val="005574B8"/>
    <w:rsid w:val="00557F5F"/>
    <w:rsid w:val="0056064E"/>
    <w:rsid w:val="00561179"/>
    <w:rsid w:val="00564010"/>
    <w:rsid w:val="00565C28"/>
    <w:rsid w:val="00566BE0"/>
    <w:rsid w:val="0057119F"/>
    <w:rsid w:val="00573365"/>
    <w:rsid w:val="005734D5"/>
    <w:rsid w:val="00573781"/>
    <w:rsid w:val="00573FD0"/>
    <w:rsid w:val="00574BFA"/>
    <w:rsid w:val="005765FA"/>
    <w:rsid w:val="0057763F"/>
    <w:rsid w:val="00577C33"/>
    <w:rsid w:val="00580D51"/>
    <w:rsid w:val="005818F5"/>
    <w:rsid w:val="00581E0E"/>
    <w:rsid w:val="00582FF6"/>
    <w:rsid w:val="00584989"/>
    <w:rsid w:val="00585190"/>
    <w:rsid w:val="0058618D"/>
    <w:rsid w:val="00592123"/>
    <w:rsid w:val="005921A0"/>
    <w:rsid w:val="00594856"/>
    <w:rsid w:val="005A02EB"/>
    <w:rsid w:val="005A192A"/>
    <w:rsid w:val="005A2534"/>
    <w:rsid w:val="005A2A5E"/>
    <w:rsid w:val="005A2A60"/>
    <w:rsid w:val="005A41A9"/>
    <w:rsid w:val="005A54C1"/>
    <w:rsid w:val="005A799B"/>
    <w:rsid w:val="005B1454"/>
    <w:rsid w:val="005B1C8F"/>
    <w:rsid w:val="005B346A"/>
    <w:rsid w:val="005B36EC"/>
    <w:rsid w:val="005B711C"/>
    <w:rsid w:val="005C1760"/>
    <w:rsid w:val="005C23BD"/>
    <w:rsid w:val="005C2A0E"/>
    <w:rsid w:val="005C4DFC"/>
    <w:rsid w:val="005C6031"/>
    <w:rsid w:val="005C65D3"/>
    <w:rsid w:val="005C6943"/>
    <w:rsid w:val="005C70AC"/>
    <w:rsid w:val="005C7779"/>
    <w:rsid w:val="005C78D9"/>
    <w:rsid w:val="005D1673"/>
    <w:rsid w:val="005D2586"/>
    <w:rsid w:val="005D389C"/>
    <w:rsid w:val="005D3A65"/>
    <w:rsid w:val="005D43EA"/>
    <w:rsid w:val="005D4691"/>
    <w:rsid w:val="005D608E"/>
    <w:rsid w:val="005D63CD"/>
    <w:rsid w:val="005D6878"/>
    <w:rsid w:val="005D6FBE"/>
    <w:rsid w:val="005E072F"/>
    <w:rsid w:val="005E0FD8"/>
    <w:rsid w:val="005E3CCC"/>
    <w:rsid w:val="005E457D"/>
    <w:rsid w:val="005E5868"/>
    <w:rsid w:val="005E63CF"/>
    <w:rsid w:val="005F2175"/>
    <w:rsid w:val="005F3E8E"/>
    <w:rsid w:val="005F7C97"/>
    <w:rsid w:val="006018AE"/>
    <w:rsid w:val="006039B9"/>
    <w:rsid w:val="00603CC7"/>
    <w:rsid w:val="00604CF2"/>
    <w:rsid w:val="0060541F"/>
    <w:rsid w:val="00606153"/>
    <w:rsid w:val="00606578"/>
    <w:rsid w:val="00610BE7"/>
    <w:rsid w:val="00611179"/>
    <w:rsid w:val="00611509"/>
    <w:rsid w:val="00612830"/>
    <w:rsid w:val="006134D9"/>
    <w:rsid w:val="00613F0D"/>
    <w:rsid w:val="00614DF4"/>
    <w:rsid w:val="00616F51"/>
    <w:rsid w:val="0061745A"/>
    <w:rsid w:val="00620F3B"/>
    <w:rsid w:val="00621CF5"/>
    <w:rsid w:val="00622669"/>
    <w:rsid w:val="00623EB2"/>
    <w:rsid w:val="00623F51"/>
    <w:rsid w:val="00624EBE"/>
    <w:rsid w:val="006253E2"/>
    <w:rsid w:val="006254D7"/>
    <w:rsid w:val="006255C8"/>
    <w:rsid w:val="00626D53"/>
    <w:rsid w:val="006306B2"/>
    <w:rsid w:val="006311FD"/>
    <w:rsid w:val="00632A87"/>
    <w:rsid w:val="006331CC"/>
    <w:rsid w:val="006346A7"/>
    <w:rsid w:val="006348CD"/>
    <w:rsid w:val="00634C64"/>
    <w:rsid w:val="0063656E"/>
    <w:rsid w:val="0063657B"/>
    <w:rsid w:val="00636989"/>
    <w:rsid w:val="00636D59"/>
    <w:rsid w:val="00637FCB"/>
    <w:rsid w:val="0064024A"/>
    <w:rsid w:val="006419AE"/>
    <w:rsid w:val="00650D63"/>
    <w:rsid w:val="00651006"/>
    <w:rsid w:val="006516BA"/>
    <w:rsid w:val="00653220"/>
    <w:rsid w:val="00653A05"/>
    <w:rsid w:val="00654358"/>
    <w:rsid w:val="00655A3E"/>
    <w:rsid w:val="006600D0"/>
    <w:rsid w:val="006616BE"/>
    <w:rsid w:val="00665549"/>
    <w:rsid w:val="006658CD"/>
    <w:rsid w:val="00666168"/>
    <w:rsid w:val="00671A97"/>
    <w:rsid w:val="0067204F"/>
    <w:rsid w:val="00672874"/>
    <w:rsid w:val="00673A11"/>
    <w:rsid w:val="00675E60"/>
    <w:rsid w:val="006765B5"/>
    <w:rsid w:val="00676614"/>
    <w:rsid w:val="006807FA"/>
    <w:rsid w:val="006814B9"/>
    <w:rsid w:val="0068289E"/>
    <w:rsid w:val="006843BB"/>
    <w:rsid w:val="006846C7"/>
    <w:rsid w:val="0068600F"/>
    <w:rsid w:val="00687C3D"/>
    <w:rsid w:val="0069003C"/>
    <w:rsid w:val="00690932"/>
    <w:rsid w:val="00691054"/>
    <w:rsid w:val="00691E5B"/>
    <w:rsid w:val="00692146"/>
    <w:rsid w:val="00697A55"/>
    <w:rsid w:val="006A419E"/>
    <w:rsid w:val="006A43E3"/>
    <w:rsid w:val="006A5AC0"/>
    <w:rsid w:val="006A6656"/>
    <w:rsid w:val="006B04B3"/>
    <w:rsid w:val="006B2FFE"/>
    <w:rsid w:val="006B3359"/>
    <w:rsid w:val="006B3C27"/>
    <w:rsid w:val="006B6733"/>
    <w:rsid w:val="006B7027"/>
    <w:rsid w:val="006C0219"/>
    <w:rsid w:val="006C22DE"/>
    <w:rsid w:val="006C231E"/>
    <w:rsid w:val="006C410E"/>
    <w:rsid w:val="006C4445"/>
    <w:rsid w:val="006C469F"/>
    <w:rsid w:val="006C4931"/>
    <w:rsid w:val="006C4D92"/>
    <w:rsid w:val="006C5210"/>
    <w:rsid w:val="006C58BD"/>
    <w:rsid w:val="006C727C"/>
    <w:rsid w:val="006C77E7"/>
    <w:rsid w:val="006D1B10"/>
    <w:rsid w:val="006D1B92"/>
    <w:rsid w:val="006D2152"/>
    <w:rsid w:val="006D306C"/>
    <w:rsid w:val="006D49F8"/>
    <w:rsid w:val="006D6E70"/>
    <w:rsid w:val="006D7CA6"/>
    <w:rsid w:val="006E0D0A"/>
    <w:rsid w:val="006E0F8C"/>
    <w:rsid w:val="006E111C"/>
    <w:rsid w:val="006E157B"/>
    <w:rsid w:val="006E163E"/>
    <w:rsid w:val="006E1987"/>
    <w:rsid w:val="006E1CB4"/>
    <w:rsid w:val="006E31CE"/>
    <w:rsid w:val="006E42FD"/>
    <w:rsid w:val="006E4830"/>
    <w:rsid w:val="006E583A"/>
    <w:rsid w:val="006E6F90"/>
    <w:rsid w:val="006F445C"/>
    <w:rsid w:val="006F4DD5"/>
    <w:rsid w:val="006F59CE"/>
    <w:rsid w:val="006F69CD"/>
    <w:rsid w:val="006F7081"/>
    <w:rsid w:val="006F724B"/>
    <w:rsid w:val="00705AB1"/>
    <w:rsid w:val="00706CAE"/>
    <w:rsid w:val="00707557"/>
    <w:rsid w:val="00714577"/>
    <w:rsid w:val="00714C9F"/>
    <w:rsid w:val="00716249"/>
    <w:rsid w:val="00722B42"/>
    <w:rsid w:val="007244B8"/>
    <w:rsid w:val="007247C6"/>
    <w:rsid w:val="007259C9"/>
    <w:rsid w:val="00726338"/>
    <w:rsid w:val="00726D5B"/>
    <w:rsid w:val="007311A6"/>
    <w:rsid w:val="00732BDC"/>
    <w:rsid w:val="00736057"/>
    <w:rsid w:val="007370D6"/>
    <w:rsid w:val="00737CD2"/>
    <w:rsid w:val="00740F33"/>
    <w:rsid w:val="00741AD2"/>
    <w:rsid w:val="00741BB6"/>
    <w:rsid w:val="007423F5"/>
    <w:rsid w:val="007437C2"/>
    <w:rsid w:val="00744C8A"/>
    <w:rsid w:val="007452BA"/>
    <w:rsid w:val="00745B0F"/>
    <w:rsid w:val="00750D2A"/>
    <w:rsid w:val="00750D84"/>
    <w:rsid w:val="007518CA"/>
    <w:rsid w:val="00752EE9"/>
    <w:rsid w:val="00753573"/>
    <w:rsid w:val="007536B4"/>
    <w:rsid w:val="00753FFA"/>
    <w:rsid w:val="007560B6"/>
    <w:rsid w:val="007627D7"/>
    <w:rsid w:val="00762874"/>
    <w:rsid w:val="00766155"/>
    <w:rsid w:val="0076726D"/>
    <w:rsid w:val="007709B3"/>
    <w:rsid w:val="00770AB4"/>
    <w:rsid w:val="00771553"/>
    <w:rsid w:val="00775279"/>
    <w:rsid w:val="007778E9"/>
    <w:rsid w:val="00783AB6"/>
    <w:rsid w:val="00786706"/>
    <w:rsid w:val="00786969"/>
    <w:rsid w:val="00787174"/>
    <w:rsid w:val="0079022D"/>
    <w:rsid w:val="0079181C"/>
    <w:rsid w:val="00791EE9"/>
    <w:rsid w:val="0079288D"/>
    <w:rsid w:val="0079327B"/>
    <w:rsid w:val="007A220A"/>
    <w:rsid w:val="007A22C2"/>
    <w:rsid w:val="007B2069"/>
    <w:rsid w:val="007B5DC9"/>
    <w:rsid w:val="007C3901"/>
    <w:rsid w:val="007C394E"/>
    <w:rsid w:val="007C3AEE"/>
    <w:rsid w:val="007C40CB"/>
    <w:rsid w:val="007C75F6"/>
    <w:rsid w:val="007D0162"/>
    <w:rsid w:val="007D161D"/>
    <w:rsid w:val="007D25C5"/>
    <w:rsid w:val="007D32D9"/>
    <w:rsid w:val="007D368B"/>
    <w:rsid w:val="007D3EB8"/>
    <w:rsid w:val="007D4023"/>
    <w:rsid w:val="007D4134"/>
    <w:rsid w:val="007D48D0"/>
    <w:rsid w:val="007D7219"/>
    <w:rsid w:val="007D75F2"/>
    <w:rsid w:val="007D7D6A"/>
    <w:rsid w:val="007E04F9"/>
    <w:rsid w:val="007E18CF"/>
    <w:rsid w:val="007E1B3D"/>
    <w:rsid w:val="007E2161"/>
    <w:rsid w:val="007E2EDD"/>
    <w:rsid w:val="007E39E7"/>
    <w:rsid w:val="007E464A"/>
    <w:rsid w:val="007E57FB"/>
    <w:rsid w:val="007E5878"/>
    <w:rsid w:val="007E69F6"/>
    <w:rsid w:val="007F033E"/>
    <w:rsid w:val="007F38C1"/>
    <w:rsid w:val="007F539F"/>
    <w:rsid w:val="007F63D4"/>
    <w:rsid w:val="00800B43"/>
    <w:rsid w:val="00800FA7"/>
    <w:rsid w:val="008034D2"/>
    <w:rsid w:val="00803AC1"/>
    <w:rsid w:val="0080557A"/>
    <w:rsid w:val="00805E17"/>
    <w:rsid w:val="008060EA"/>
    <w:rsid w:val="00807ABF"/>
    <w:rsid w:val="00810BD5"/>
    <w:rsid w:val="0081190B"/>
    <w:rsid w:val="00812F2F"/>
    <w:rsid w:val="008130A3"/>
    <w:rsid w:val="00816F01"/>
    <w:rsid w:val="00822B0D"/>
    <w:rsid w:val="00825177"/>
    <w:rsid w:val="00825436"/>
    <w:rsid w:val="00825E85"/>
    <w:rsid w:val="008260C8"/>
    <w:rsid w:val="008272D8"/>
    <w:rsid w:val="00827887"/>
    <w:rsid w:val="00827FF7"/>
    <w:rsid w:val="00830609"/>
    <w:rsid w:val="0083445B"/>
    <w:rsid w:val="00835D78"/>
    <w:rsid w:val="008368F2"/>
    <w:rsid w:val="00840106"/>
    <w:rsid w:val="0084126C"/>
    <w:rsid w:val="00846469"/>
    <w:rsid w:val="00847E65"/>
    <w:rsid w:val="00852407"/>
    <w:rsid w:val="00853204"/>
    <w:rsid w:val="008540BD"/>
    <w:rsid w:val="0085421F"/>
    <w:rsid w:val="00855454"/>
    <w:rsid w:val="00855B7A"/>
    <w:rsid w:val="00860ED1"/>
    <w:rsid w:val="00863481"/>
    <w:rsid w:val="00864A08"/>
    <w:rsid w:val="00864D48"/>
    <w:rsid w:val="008664FD"/>
    <w:rsid w:val="008667C8"/>
    <w:rsid w:val="00870DA4"/>
    <w:rsid w:val="008722DD"/>
    <w:rsid w:val="00873927"/>
    <w:rsid w:val="00873E57"/>
    <w:rsid w:val="00875805"/>
    <w:rsid w:val="0088053F"/>
    <w:rsid w:val="00880B15"/>
    <w:rsid w:val="00884053"/>
    <w:rsid w:val="0088678A"/>
    <w:rsid w:val="008869B0"/>
    <w:rsid w:val="0089116E"/>
    <w:rsid w:val="00891A4E"/>
    <w:rsid w:val="008962FF"/>
    <w:rsid w:val="008966B8"/>
    <w:rsid w:val="00896C98"/>
    <w:rsid w:val="008A0DD5"/>
    <w:rsid w:val="008A10D1"/>
    <w:rsid w:val="008A190A"/>
    <w:rsid w:val="008A4145"/>
    <w:rsid w:val="008A5464"/>
    <w:rsid w:val="008A6AB7"/>
    <w:rsid w:val="008A7138"/>
    <w:rsid w:val="008A7A1F"/>
    <w:rsid w:val="008B020C"/>
    <w:rsid w:val="008B0EA7"/>
    <w:rsid w:val="008B1181"/>
    <w:rsid w:val="008B1F98"/>
    <w:rsid w:val="008B20AF"/>
    <w:rsid w:val="008B211D"/>
    <w:rsid w:val="008B58C7"/>
    <w:rsid w:val="008B6C09"/>
    <w:rsid w:val="008B7072"/>
    <w:rsid w:val="008B711F"/>
    <w:rsid w:val="008B769D"/>
    <w:rsid w:val="008B7A25"/>
    <w:rsid w:val="008C13CE"/>
    <w:rsid w:val="008C4227"/>
    <w:rsid w:val="008C4736"/>
    <w:rsid w:val="008D030E"/>
    <w:rsid w:val="008D09EC"/>
    <w:rsid w:val="008D1A3C"/>
    <w:rsid w:val="008D368B"/>
    <w:rsid w:val="008D3F0F"/>
    <w:rsid w:val="008D3F44"/>
    <w:rsid w:val="008D441C"/>
    <w:rsid w:val="008D7CD0"/>
    <w:rsid w:val="008E0604"/>
    <w:rsid w:val="008E220B"/>
    <w:rsid w:val="008E249A"/>
    <w:rsid w:val="008E2EE4"/>
    <w:rsid w:val="008E38C6"/>
    <w:rsid w:val="008E4898"/>
    <w:rsid w:val="008E51A0"/>
    <w:rsid w:val="008E6708"/>
    <w:rsid w:val="008E6FD8"/>
    <w:rsid w:val="008E7231"/>
    <w:rsid w:val="008F0A85"/>
    <w:rsid w:val="008F1E1E"/>
    <w:rsid w:val="008F2E90"/>
    <w:rsid w:val="008F31CC"/>
    <w:rsid w:val="008F331A"/>
    <w:rsid w:val="008F3499"/>
    <w:rsid w:val="008F373F"/>
    <w:rsid w:val="008F5D43"/>
    <w:rsid w:val="008F667F"/>
    <w:rsid w:val="00900062"/>
    <w:rsid w:val="00900638"/>
    <w:rsid w:val="0090088A"/>
    <w:rsid w:val="00902F2A"/>
    <w:rsid w:val="00904C5E"/>
    <w:rsid w:val="00905A22"/>
    <w:rsid w:val="00906019"/>
    <w:rsid w:val="0091797E"/>
    <w:rsid w:val="009205C3"/>
    <w:rsid w:val="0092417A"/>
    <w:rsid w:val="009256D1"/>
    <w:rsid w:val="00926F25"/>
    <w:rsid w:val="009340AF"/>
    <w:rsid w:val="00934551"/>
    <w:rsid w:val="00934E45"/>
    <w:rsid w:val="00935206"/>
    <w:rsid w:val="009409B5"/>
    <w:rsid w:val="00940A54"/>
    <w:rsid w:val="00940EC6"/>
    <w:rsid w:val="0094248C"/>
    <w:rsid w:val="00943547"/>
    <w:rsid w:val="00943590"/>
    <w:rsid w:val="009447EC"/>
    <w:rsid w:val="00944D6C"/>
    <w:rsid w:val="009454FF"/>
    <w:rsid w:val="0094574B"/>
    <w:rsid w:val="009464B8"/>
    <w:rsid w:val="00946DD5"/>
    <w:rsid w:val="00946EE2"/>
    <w:rsid w:val="00950A43"/>
    <w:rsid w:val="00951044"/>
    <w:rsid w:val="009516E5"/>
    <w:rsid w:val="00952EAF"/>
    <w:rsid w:val="009530EF"/>
    <w:rsid w:val="0095419F"/>
    <w:rsid w:val="009544D6"/>
    <w:rsid w:val="00955A21"/>
    <w:rsid w:val="00955B1D"/>
    <w:rsid w:val="00955B8E"/>
    <w:rsid w:val="00956BDD"/>
    <w:rsid w:val="00956D24"/>
    <w:rsid w:val="009608AF"/>
    <w:rsid w:val="00966650"/>
    <w:rsid w:val="0096677E"/>
    <w:rsid w:val="009670C8"/>
    <w:rsid w:val="009676F9"/>
    <w:rsid w:val="0097048F"/>
    <w:rsid w:val="009705B4"/>
    <w:rsid w:val="00970650"/>
    <w:rsid w:val="009721E6"/>
    <w:rsid w:val="00973319"/>
    <w:rsid w:val="00974525"/>
    <w:rsid w:val="0097495B"/>
    <w:rsid w:val="0097516F"/>
    <w:rsid w:val="009774D6"/>
    <w:rsid w:val="009800D8"/>
    <w:rsid w:val="00980554"/>
    <w:rsid w:val="009809AD"/>
    <w:rsid w:val="00980FB6"/>
    <w:rsid w:val="00983B56"/>
    <w:rsid w:val="00984F29"/>
    <w:rsid w:val="00985311"/>
    <w:rsid w:val="009864A4"/>
    <w:rsid w:val="00986D30"/>
    <w:rsid w:val="00986FE0"/>
    <w:rsid w:val="009877F4"/>
    <w:rsid w:val="00990030"/>
    <w:rsid w:val="00993778"/>
    <w:rsid w:val="00993B3A"/>
    <w:rsid w:val="0099596D"/>
    <w:rsid w:val="00996042"/>
    <w:rsid w:val="009978CC"/>
    <w:rsid w:val="009A2439"/>
    <w:rsid w:val="009A273B"/>
    <w:rsid w:val="009A2D32"/>
    <w:rsid w:val="009A3419"/>
    <w:rsid w:val="009A3796"/>
    <w:rsid w:val="009A5973"/>
    <w:rsid w:val="009A7B2E"/>
    <w:rsid w:val="009B14EF"/>
    <w:rsid w:val="009B4833"/>
    <w:rsid w:val="009B58AE"/>
    <w:rsid w:val="009B6D05"/>
    <w:rsid w:val="009C11B2"/>
    <w:rsid w:val="009C1364"/>
    <w:rsid w:val="009C1365"/>
    <w:rsid w:val="009C2551"/>
    <w:rsid w:val="009C5F47"/>
    <w:rsid w:val="009C61AB"/>
    <w:rsid w:val="009C649D"/>
    <w:rsid w:val="009D3AE3"/>
    <w:rsid w:val="009D3BB5"/>
    <w:rsid w:val="009D3EA1"/>
    <w:rsid w:val="009D5EB7"/>
    <w:rsid w:val="009D75E9"/>
    <w:rsid w:val="009E05F8"/>
    <w:rsid w:val="009E0BB6"/>
    <w:rsid w:val="009E25CB"/>
    <w:rsid w:val="009E412D"/>
    <w:rsid w:val="009E5D6C"/>
    <w:rsid w:val="009E644B"/>
    <w:rsid w:val="009F0C75"/>
    <w:rsid w:val="009F10E3"/>
    <w:rsid w:val="009F137B"/>
    <w:rsid w:val="009F17E2"/>
    <w:rsid w:val="009F2906"/>
    <w:rsid w:val="009F2CCB"/>
    <w:rsid w:val="009F4E01"/>
    <w:rsid w:val="009F5AAE"/>
    <w:rsid w:val="00A01F22"/>
    <w:rsid w:val="00A058D0"/>
    <w:rsid w:val="00A20E22"/>
    <w:rsid w:val="00A20EA2"/>
    <w:rsid w:val="00A232E2"/>
    <w:rsid w:val="00A23F3D"/>
    <w:rsid w:val="00A241EE"/>
    <w:rsid w:val="00A24805"/>
    <w:rsid w:val="00A30694"/>
    <w:rsid w:val="00A30E1D"/>
    <w:rsid w:val="00A30F40"/>
    <w:rsid w:val="00A3175A"/>
    <w:rsid w:val="00A31AB9"/>
    <w:rsid w:val="00A31C49"/>
    <w:rsid w:val="00A3343A"/>
    <w:rsid w:val="00A340CA"/>
    <w:rsid w:val="00A363F3"/>
    <w:rsid w:val="00A406E8"/>
    <w:rsid w:val="00A424AD"/>
    <w:rsid w:val="00A43E58"/>
    <w:rsid w:val="00A44259"/>
    <w:rsid w:val="00A44D30"/>
    <w:rsid w:val="00A45D05"/>
    <w:rsid w:val="00A4622F"/>
    <w:rsid w:val="00A46CE1"/>
    <w:rsid w:val="00A510E8"/>
    <w:rsid w:val="00A51795"/>
    <w:rsid w:val="00A524C9"/>
    <w:rsid w:val="00A53745"/>
    <w:rsid w:val="00A54E45"/>
    <w:rsid w:val="00A57BDC"/>
    <w:rsid w:val="00A60FF0"/>
    <w:rsid w:val="00A62C0F"/>
    <w:rsid w:val="00A6318F"/>
    <w:rsid w:val="00A635BD"/>
    <w:rsid w:val="00A64A8A"/>
    <w:rsid w:val="00A64DEF"/>
    <w:rsid w:val="00A678F4"/>
    <w:rsid w:val="00A71476"/>
    <w:rsid w:val="00A73F1F"/>
    <w:rsid w:val="00A742B3"/>
    <w:rsid w:val="00A74AC3"/>
    <w:rsid w:val="00A7631B"/>
    <w:rsid w:val="00A7787C"/>
    <w:rsid w:val="00A77CA8"/>
    <w:rsid w:val="00A8043F"/>
    <w:rsid w:val="00A821C4"/>
    <w:rsid w:val="00A84998"/>
    <w:rsid w:val="00A85765"/>
    <w:rsid w:val="00A90F64"/>
    <w:rsid w:val="00A932F0"/>
    <w:rsid w:val="00A9362D"/>
    <w:rsid w:val="00A93A54"/>
    <w:rsid w:val="00A93F48"/>
    <w:rsid w:val="00A948BC"/>
    <w:rsid w:val="00A95FAC"/>
    <w:rsid w:val="00AA000A"/>
    <w:rsid w:val="00AA0021"/>
    <w:rsid w:val="00AA01DD"/>
    <w:rsid w:val="00AA11CF"/>
    <w:rsid w:val="00AA1A2A"/>
    <w:rsid w:val="00AA30B3"/>
    <w:rsid w:val="00AA3AAE"/>
    <w:rsid w:val="00AA7361"/>
    <w:rsid w:val="00AB0825"/>
    <w:rsid w:val="00AB0AC8"/>
    <w:rsid w:val="00AB312F"/>
    <w:rsid w:val="00AB456B"/>
    <w:rsid w:val="00AB4851"/>
    <w:rsid w:val="00AB48FC"/>
    <w:rsid w:val="00AB528E"/>
    <w:rsid w:val="00AB6826"/>
    <w:rsid w:val="00AB728C"/>
    <w:rsid w:val="00AB755D"/>
    <w:rsid w:val="00AC1096"/>
    <w:rsid w:val="00AC262B"/>
    <w:rsid w:val="00AD2738"/>
    <w:rsid w:val="00AD2FC7"/>
    <w:rsid w:val="00AD51D1"/>
    <w:rsid w:val="00AD5306"/>
    <w:rsid w:val="00AD571C"/>
    <w:rsid w:val="00AD65E8"/>
    <w:rsid w:val="00AD69FC"/>
    <w:rsid w:val="00AD72CD"/>
    <w:rsid w:val="00AE0D13"/>
    <w:rsid w:val="00AE2029"/>
    <w:rsid w:val="00AE2A6F"/>
    <w:rsid w:val="00AE3FA9"/>
    <w:rsid w:val="00AE505D"/>
    <w:rsid w:val="00AE6C69"/>
    <w:rsid w:val="00AE741E"/>
    <w:rsid w:val="00AF1193"/>
    <w:rsid w:val="00AF2867"/>
    <w:rsid w:val="00AF3CE1"/>
    <w:rsid w:val="00AF6777"/>
    <w:rsid w:val="00AF6C47"/>
    <w:rsid w:val="00B00ED6"/>
    <w:rsid w:val="00B039FD"/>
    <w:rsid w:val="00B05164"/>
    <w:rsid w:val="00B06F6A"/>
    <w:rsid w:val="00B076BC"/>
    <w:rsid w:val="00B077D3"/>
    <w:rsid w:val="00B10388"/>
    <w:rsid w:val="00B11624"/>
    <w:rsid w:val="00B13453"/>
    <w:rsid w:val="00B1582C"/>
    <w:rsid w:val="00B15C15"/>
    <w:rsid w:val="00B20FD5"/>
    <w:rsid w:val="00B230C7"/>
    <w:rsid w:val="00B2527F"/>
    <w:rsid w:val="00B25292"/>
    <w:rsid w:val="00B317E2"/>
    <w:rsid w:val="00B31DE8"/>
    <w:rsid w:val="00B320C6"/>
    <w:rsid w:val="00B3290D"/>
    <w:rsid w:val="00B32993"/>
    <w:rsid w:val="00B3403A"/>
    <w:rsid w:val="00B34D3B"/>
    <w:rsid w:val="00B35BC3"/>
    <w:rsid w:val="00B379E8"/>
    <w:rsid w:val="00B43A6B"/>
    <w:rsid w:val="00B44D01"/>
    <w:rsid w:val="00B4547C"/>
    <w:rsid w:val="00B459D2"/>
    <w:rsid w:val="00B51FD4"/>
    <w:rsid w:val="00B535C6"/>
    <w:rsid w:val="00B570BE"/>
    <w:rsid w:val="00B57770"/>
    <w:rsid w:val="00B67E3E"/>
    <w:rsid w:val="00B71FCD"/>
    <w:rsid w:val="00B74894"/>
    <w:rsid w:val="00B767CE"/>
    <w:rsid w:val="00B8080F"/>
    <w:rsid w:val="00B81441"/>
    <w:rsid w:val="00B85786"/>
    <w:rsid w:val="00B85A90"/>
    <w:rsid w:val="00B86A05"/>
    <w:rsid w:val="00B91AAF"/>
    <w:rsid w:val="00B92224"/>
    <w:rsid w:val="00B9264D"/>
    <w:rsid w:val="00B93346"/>
    <w:rsid w:val="00B9482D"/>
    <w:rsid w:val="00B95C90"/>
    <w:rsid w:val="00B9710A"/>
    <w:rsid w:val="00B97B5B"/>
    <w:rsid w:val="00B97DD2"/>
    <w:rsid w:val="00B97DD3"/>
    <w:rsid w:val="00BA1C28"/>
    <w:rsid w:val="00BA1CC1"/>
    <w:rsid w:val="00BA27B1"/>
    <w:rsid w:val="00BA5303"/>
    <w:rsid w:val="00BA596B"/>
    <w:rsid w:val="00BB0DA6"/>
    <w:rsid w:val="00BB1F37"/>
    <w:rsid w:val="00BB242D"/>
    <w:rsid w:val="00BB4264"/>
    <w:rsid w:val="00BB4DD0"/>
    <w:rsid w:val="00BB6AB7"/>
    <w:rsid w:val="00BC1A5C"/>
    <w:rsid w:val="00BC3823"/>
    <w:rsid w:val="00BC3B26"/>
    <w:rsid w:val="00BC3B7B"/>
    <w:rsid w:val="00BC3D59"/>
    <w:rsid w:val="00BC5CC2"/>
    <w:rsid w:val="00BC6B3B"/>
    <w:rsid w:val="00BD1C85"/>
    <w:rsid w:val="00BD2C85"/>
    <w:rsid w:val="00BD3789"/>
    <w:rsid w:val="00BD47D1"/>
    <w:rsid w:val="00BD6A2D"/>
    <w:rsid w:val="00BE0F57"/>
    <w:rsid w:val="00BE21AD"/>
    <w:rsid w:val="00BE2809"/>
    <w:rsid w:val="00BE2EFF"/>
    <w:rsid w:val="00BE5386"/>
    <w:rsid w:val="00BE79D6"/>
    <w:rsid w:val="00BE7B81"/>
    <w:rsid w:val="00BF056B"/>
    <w:rsid w:val="00BF0DA9"/>
    <w:rsid w:val="00BF0F80"/>
    <w:rsid w:val="00BF1067"/>
    <w:rsid w:val="00BF1433"/>
    <w:rsid w:val="00BF1C91"/>
    <w:rsid w:val="00BF2AFE"/>
    <w:rsid w:val="00BF3C35"/>
    <w:rsid w:val="00BF4A16"/>
    <w:rsid w:val="00BF5836"/>
    <w:rsid w:val="00BF6C1B"/>
    <w:rsid w:val="00BF6DD6"/>
    <w:rsid w:val="00BF71EF"/>
    <w:rsid w:val="00C000AB"/>
    <w:rsid w:val="00C0172C"/>
    <w:rsid w:val="00C02756"/>
    <w:rsid w:val="00C030F4"/>
    <w:rsid w:val="00C0683E"/>
    <w:rsid w:val="00C071CC"/>
    <w:rsid w:val="00C120EE"/>
    <w:rsid w:val="00C152C7"/>
    <w:rsid w:val="00C153A0"/>
    <w:rsid w:val="00C16659"/>
    <w:rsid w:val="00C21715"/>
    <w:rsid w:val="00C21C42"/>
    <w:rsid w:val="00C21D60"/>
    <w:rsid w:val="00C228A6"/>
    <w:rsid w:val="00C23A55"/>
    <w:rsid w:val="00C24319"/>
    <w:rsid w:val="00C261FD"/>
    <w:rsid w:val="00C265F9"/>
    <w:rsid w:val="00C267E6"/>
    <w:rsid w:val="00C310DA"/>
    <w:rsid w:val="00C3212D"/>
    <w:rsid w:val="00C34871"/>
    <w:rsid w:val="00C406CE"/>
    <w:rsid w:val="00C412E0"/>
    <w:rsid w:val="00C413AA"/>
    <w:rsid w:val="00C420D9"/>
    <w:rsid w:val="00C43906"/>
    <w:rsid w:val="00C44073"/>
    <w:rsid w:val="00C441D2"/>
    <w:rsid w:val="00C44E5F"/>
    <w:rsid w:val="00C455F1"/>
    <w:rsid w:val="00C45F8B"/>
    <w:rsid w:val="00C46DE2"/>
    <w:rsid w:val="00C475DE"/>
    <w:rsid w:val="00C47B7C"/>
    <w:rsid w:val="00C50556"/>
    <w:rsid w:val="00C50584"/>
    <w:rsid w:val="00C5071A"/>
    <w:rsid w:val="00C54E02"/>
    <w:rsid w:val="00C5677D"/>
    <w:rsid w:val="00C56F2A"/>
    <w:rsid w:val="00C57418"/>
    <w:rsid w:val="00C60336"/>
    <w:rsid w:val="00C60DE5"/>
    <w:rsid w:val="00C61BF5"/>
    <w:rsid w:val="00C61EB1"/>
    <w:rsid w:val="00C62827"/>
    <w:rsid w:val="00C630E9"/>
    <w:rsid w:val="00C64686"/>
    <w:rsid w:val="00C71F28"/>
    <w:rsid w:val="00C73166"/>
    <w:rsid w:val="00C7511C"/>
    <w:rsid w:val="00C77640"/>
    <w:rsid w:val="00C776E9"/>
    <w:rsid w:val="00C77A87"/>
    <w:rsid w:val="00C77B12"/>
    <w:rsid w:val="00C805DF"/>
    <w:rsid w:val="00C8243A"/>
    <w:rsid w:val="00C84096"/>
    <w:rsid w:val="00C8533E"/>
    <w:rsid w:val="00C85AC5"/>
    <w:rsid w:val="00C86305"/>
    <w:rsid w:val="00C86DAD"/>
    <w:rsid w:val="00C87346"/>
    <w:rsid w:val="00C873B9"/>
    <w:rsid w:val="00C9162B"/>
    <w:rsid w:val="00C96DA1"/>
    <w:rsid w:val="00C97284"/>
    <w:rsid w:val="00C9755A"/>
    <w:rsid w:val="00CA04C7"/>
    <w:rsid w:val="00CA449B"/>
    <w:rsid w:val="00CA44AD"/>
    <w:rsid w:val="00CA5B3E"/>
    <w:rsid w:val="00CA60EC"/>
    <w:rsid w:val="00CA6985"/>
    <w:rsid w:val="00CA7D0A"/>
    <w:rsid w:val="00CB108C"/>
    <w:rsid w:val="00CB42CC"/>
    <w:rsid w:val="00CB6B91"/>
    <w:rsid w:val="00CB6DB7"/>
    <w:rsid w:val="00CB7253"/>
    <w:rsid w:val="00CC224B"/>
    <w:rsid w:val="00CC2762"/>
    <w:rsid w:val="00CC342A"/>
    <w:rsid w:val="00CC49D4"/>
    <w:rsid w:val="00CC5F5B"/>
    <w:rsid w:val="00CD0C95"/>
    <w:rsid w:val="00CD1DDD"/>
    <w:rsid w:val="00CD339C"/>
    <w:rsid w:val="00CD38F0"/>
    <w:rsid w:val="00CD529D"/>
    <w:rsid w:val="00CD52E6"/>
    <w:rsid w:val="00CE18E9"/>
    <w:rsid w:val="00CE35EB"/>
    <w:rsid w:val="00CE4DFD"/>
    <w:rsid w:val="00CE7049"/>
    <w:rsid w:val="00CE705A"/>
    <w:rsid w:val="00CF0BB5"/>
    <w:rsid w:val="00CF35AB"/>
    <w:rsid w:val="00CF3DCB"/>
    <w:rsid w:val="00CF4AD6"/>
    <w:rsid w:val="00CF4B93"/>
    <w:rsid w:val="00CF5957"/>
    <w:rsid w:val="00CF7227"/>
    <w:rsid w:val="00D01D84"/>
    <w:rsid w:val="00D0224F"/>
    <w:rsid w:val="00D031AD"/>
    <w:rsid w:val="00D03B14"/>
    <w:rsid w:val="00D03D45"/>
    <w:rsid w:val="00D05287"/>
    <w:rsid w:val="00D0549D"/>
    <w:rsid w:val="00D067F9"/>
    <w:rsid w:val="00D1087D"/>
    <w:rsid w:val="00D11259"/>
    <w:rsid w:val="00D11FDF"/>
    <w:rsid w:val="00D13357"/>
    <w:rsid w:val="00D14819"/>
    <w:rsid w:val="00D149B0"/>
    <w:rsid w:val="00D15243"/>
    <w:rsid w:val="00D157DB"/>
    <w:rsid w:val="00D15950"/>
    <w:rsid w:val="00D15BC5"/>
    <w:rsid w:val="00D21563"/>
    <w:rsid w:val="00D22E0A"/>
    <w:rsid w:val="00D23A8D"/>
    <w:rsid w:val="00D23F75"/>
    <w:rsid w:val="00D261DB"/>
    <w:rsid w:val="00D32662"/>
    <w:rsid w:val="00D37AC5"/>
    <w:rsid w:val="00D437B7"/>
    <w:rsid w:val="00D4451D"/>
    <w:rsid w:val="00D45444"/>
    <w:rsid w:val="00D456FA"/>
    <w:rsid w:val="00D47A01"/>
    <w:rsid w:val="00D51935"/>
    <w:rsid w:val="00D553DF"/>
    <w:rsid w:val="00D572E1"/>
    <w:rsid w:val="00D579A0"/>
    <w:rsid w:val="00D60690"/>
    <w:rsid w:val="00D62730"/>
    <w:rsid w:val="00D63C75"/>
    <w:rsid w:val="00D643F4"/>
    <w:rsid w:val="00D651D5"/>
    <w:rsid w:val="00D66120"/>
    <w:rsid w:val="00D66D98"/>
    <w:rsid w:val="00D66F46"/>
    <w:rsid w:val="00D675DB"/>
    <w:rsid w:val="00D67653"/>
    <w:rsid w:val="00D67B9D"/>
    <w:rsid w:val="00D704D3"/>
    <w:rsid w:val="00D71174"/>
    <w:rsid w:val="00D71426"/>
    <w:rsid w:val="00D72EDB"/>
    <w:rsid w:val="00D74C1A"/>
    <w:rsid w:val="00D74CC2"/>
    <w:rsid w:val="00D771BF"/>
    <w:rsid w:val="00D80C12"/>
    <w:rsid w:val="00D81C2C"/>
    <w:rsid w:val="00D81F68"/>
    <w:rsid w:val="00D830E1"/>
    <w:rsid w:val="00D85C1C"/>
    <w:rsid w:val="00D8649D"/>
    <w:rsid w:val="00D91EFE"/>
    <w:rsid w:val="00D9245E"/>
    <w:rsid w:val="00D92569"/>
    <w:rsid w:val="00D93EA9"/>
    <w:rsid w:val="00D94F4D"/>
    <w:rsid w:val="00D95C4D"/>
    <w:rsid w:val="00DA283D"/>
    <w:rsid w:val="00DA3902"/>
    <w:rsid w:val="00DA4591"/>
    <w:rsid w:val="00DB0810"/>
    <w:rsid w:val="00DB160E"/>
    <w:rsid w:val="00DB1E82"/>
    <w:rsid w:val="00DB4C68"/>
    <w:rsid w:val="00DB58B3"/>
    <w:rsid w:val="00DC0843"/>
    <w:rsid w:val="00DC3035"/>
    <w:rsid w:val="00DC3F61"/>
    <w:rsid w:val="00DC42DC"/>
    <w:rsid w:val="00DC55E4"/>
    <w:rsid w:val="00DC6BDE"/>
    <w:rsid w:val="00DD1011"/>
    <w:rsid w:val="00DD3123"/>
    <w:rsid w:val="00DD4AE2"/>
    <w:rsid w:val="00DD75FC"/>
    <w:rsid w:val="00DE130F"/>
    <w:rsid w:val="00DE1C32"/>
    <w:rsid w:val="00DE2909"/>
    <w:rsid w:val="00DE2982"/>
    <w:rsid w:val="00DE63C5"/>
    <w:rsid w:val="00DE63CF"/>
    <w:rsid w:val="00DE7E53"/>
    <w:rsid w:val="00DE7EA3"/>
    <w:rsid w:val="00DF0AC1"/>
    <w:rsid w:val="00DF0B56"/>
    <w:rsid w:val="00DF0F4E"/>
    <w:rsid w:val="00DF1894"/>
    <w:rsid w:val="00DF2BE0"/>
    <w:rsid w:val="00DF3E0F"/>
    <w:rsid w:val="00DF7094"/>
    <w:rsid w:val="00E0099B"/>
    <w:rsid w:val="00E009FB"/>
    <w:rsid w:val="00E01195"/>
    <w:rsid w:val="00E01B01"/>
    <w:rsid w:val="00E02968"/>
    <w:rsid w:val="00E038CD"/>
    <w:rsid w:val="00E04C99"/>
    <w:rsid w:val="00E0557C"/>
    <w:rsid w:val="00E076CC"/>
    <w:rsid w:val="00E15010"/>
    <w:rsid w:val="00E16513"/>
    <w:rsid w:val="00E17926"/>
    <w:rsid w:val="00E17E97"/>
    <w:rsid w:val="00E20337"/>
    <w:rsid w:val="00E204CB"/>
    <w:rsid w:val="00E21640"/>
    <w:rsid w:val="00E23E68"/>
    <w:rsid w:val="00E243C9"/>
    <w:rsid w:val="00E25FED"/>
    <w:rsid w:val="00E26637"/>
    <w:rsid w:val="00E31978"/>
    <w:rsid w:val="00E3316A"/>
    <w:rsid w:val="00E355A6"/>
    <w:rsid w:val="00E360DF"/>
    <w:rsid w:val="00E3619E"/>
    <w:rsid w:val="00E3777C"/>
    <w:rsid w:val="00E37F80"/>
    <w:rsid w:val="00E4008B"/>
    <w:rsid w:val="00E40388"/>
    <w:rsid w:val="00E40D8E"/>
    <w:rsid w:val="00E43AEA"/>
    <w:rsid w:val="00E43EE1"/>
    <w:rsid w:val="00E507BA"/>
    <w:rsid w:val="00E50C34"/>
    <w:rsid w:val="00E51685"/>
    <w:rsid w:val="00E52D25"/>
    <w:rsid w:val="00E538B4"/>
    <w:rsid w:val="00E55F26"/>
    <w:rsid w:val="00E56395"/>
    <w:rsid w:val="00E60E51"/>
    <w:rsid w:val="00E64FC2"/>
    <w:rsid w:val="00E7012D"/>
    <w:rsid w:val="00E70A86"/>
    <w:rsid w:val="00E71495"/>
    <w:rsid w:val="00E71ADC"/>
    <w:rsid w:val="00E7526A"/>
    <w:rsid w:val="00E75271"/>
    <w:rsid w:val="00E80132"/>
    <w:rsid w:val="00E80C6C"/>
    <w:rsid w:val="00E81E32"/>
    <w:rsid w:val="00E81FAE"/>
    <w:rsid w:val="00E82547"/>
    <w:rsid w:val="00E82F6A"/>
    <w:rsid w:val="00E85C9E"/>
    <w:rsid w:val="00E86945"/>
    <w:rsid w:val="00E872BB"/>
    <w:rsid w:val="00E90524"/>
    <w:rsid w:val="00E90788"/>
    <w:rsid w:val="00E916C0"/>
    <w:rsid w:val="00E949E9"/>
    <w:rsid w:val="00E95CF8"/>
    <w:rsid w:val="00EA1902"/>
    <w:rsid w:val="00EA1D05"/>
    <w:rsid w:val="00EA4ADF"/>
    <w:rsid w:val="00EA59DC"/>
    <w:rsid w:val="00EB1FCD"/>
    <w:rsid w:val="00EB4458"/>
    <w:rsid w:val="00EB4E0D"/>
    <w:rsid w:val="00EB580C"/>
    <w:rsid w:val="00EB790E"/>
    <w:rsid w:val="00EC0ADE"/>
    <w:rsid w:val="00EC0CBA"/>
    <w:rsid w:val="00EC16F0"/>
    <w:rsid w:val="00EC50A2"/>
    <w:rsid w:val="00EC523B"/>
    <w:rsid w:val="00EC58D3"/>
    <w:rsid w:val="00EC5B09"/>
    <w:rsid w:val="00ED0212"/>
    <w:rsid w:val="00ED18CD"/>
    <w:rsid w:val="00ED2AF4"/>
    <w:rsid w:val="00ED33EB"/>
    <w:rsid w:val="00ED4E6B"/>
    <w:rsid w:val="00ED61CB"/>
    <w:rsid w:val="00ED7CEC"/>
    <w:rsid w:val="00EE2541"/>
    <w:rsid w:val="00EE2958"/>
    <w:rsid w:val="00EE39B3"/>
    <w:rsid w:val="00EE46F4"/>
    <w:rsid w:val="00EE4F94"/>
    <w:rsid w:val="00EE6B61"/>
    <w:rsid w:val="00EE7121"/>
    <w:rsid w:val="00EF08B2"/>
    <w:rsid w:val="00EF0CE3"/>
    <w:rsid w:val="00EF0DF1"/>
    <w:rsid w:val="00EF1038"/>
    <w:rsid w:val="00EF2923"/>
    <w:rsid w:val="00EF2CD8"/>
    <w:rsid w:val="00EF3DDB"/>
    <w:rsid w:val="00EF577B"/>
    <w:rsid w:val="00F01E65"/>
    <w:rsid w:val="00F05754"/>
    <w:rsid w:val="00F06040"/>
    <w:rsid w:val="00F07940"/>
    <w:rsid w:val="00F07DCA"/>
    <w:rsid w:val="00F1004D"/>
    <w:rsid w:val="00F1188A"/>
    <w:rsid w:val="00F13471"/>
    <w:rsid w:val="00F14191"/>
    <w:rsid w:val="00F143FE"/>
    <w:rsid w:val="00F145EB"/>
    <w:rsid w:val="00F14EF6"/>
    <w:rsid w:val="00F16757"/>
    <w:rsid w:val="00F20302"/>
    <w:rsid w:val="00F20699"/>
    <w:rsid w:val="00F256CE"/>
    <w:rsid w:val="00F272F4"/>
    <w:rsid w:val="00F278B6"/>
    <w:rsid w:val="00F278E0"/>
    <w:rsid w:val="00F279F0"/>
    <w:rsid w:val="00F300CC"/>
    <w:rsid w:val="00F31242"/>
    <w:rsid w:val="00F31CD5"/>
    <w:rsid w:val="00F31CF8"/>
    <w:rsid w:val="00F3247A"/>
    <w:rsid w:val="00F33B8D"/>
    <w:rsid w:val="00F34899"/>
    <w:rsid w:val="00F35D3F"/>
    <w:rsid w:val="00F4235A"/>
    <w:rsid w:val="00F424AC"/>
    <w:rsid w:val="00F42EEA"/>
    <w:rsid w:val="00F43A2F"/>
    <w:rsid w:val="00F44675"/>
    <w:rsid w:val="00F44681"/>
    <w:rsid w:val="00F476C2"/>
    <w:rsid w:val="00F506A2"/>
    <w:rsid w:val="00F51081"/>
    <w:rsid w:val="00F52501"/>
    <w:rsid w:val="00F534E8"/>
    <w:rsid w:val="00F54A88"/>
    <w:rsid w:val="00F55A64"/>
    <w:rsid w:val="00F57834"/>
    <w:rsid w:val="00F6173C"/>
    <w:rsid w:val="00F6359C"/>
    <w:rsid w:val="00F64901"/>
    <w:rsid w:val="00F655B0"/>
    <w:rsid w:val="00F65C18"/>
    <w:rsid w:val="00F7062B"/>
    <w:rsid w:val="00F72A75"/>
    <w:rsid w:val="00F72D4E"/>
    <w:rsid w:val="00F73B39"/>
    <w:rsid w:val="00F75A12"/>
    <w:rsid w:val="00F76658"/>
    <w:rsid w:val="00F81563"/>
    <w:rsid w:val="00F82A95"/>
    <w:rsid w:val="00F848CC"/>
    <w:rsid w:val="00F86822"/>
    <w:rsid w:val="00F86D74"/>
    <w:rsid w:val="00F9187A"/>
    <w:rsid w:val="00F921A2"/>
    <w:rsid w:val="00F92D8C"/>
    <w:rsid w:val="00F92E9F"/>
    <w:rsid w:val="00F93626"/>
    <w:rsid w:val="00F94518"/>
    <w:rsid w:val="00F94D6A"/>
    <w:rsid w:val="00F94FD3"/>
    <w:rsid w:val="00F9787A"/>
    <w:rsid w:val="00FA16CA"/>
    <w:rsid w:val="00FA2424"/>
    <w:rsid w:val="00FA270A"/>
    <w:rsid w:val="00FA4CC0"/>
    <w:rsid w:val="00FA603B"/>
    <w:rsid w:val="00FA76F4"/>
    <w:rsid w:val="00FB0517"/>
    <w:rsid w:val="00FB2BD9"/>
    <w:rsid w:val="00FB2F47"/>
    <w:rsid w:val="00FB3989"/>
    <w:rsid w:val="00FB3C14"/>
    <w:rsid w:val="00FB443D"/>
    <w:rsid w:val="00FB4CBE"/>
    <w:rsid w:val="00FB5371"/>
    <w:rsid w:val="00FC214B"/>
    <w:rsid w:val="00FC2517"/>
    <w:rsid w:val="00FC4A21"/>
    <w:rsid w:val="00FC5215"/>
    <w:rsid w:val="00FC64CE"/>
    <w:rsid w:val="00FC66E6"/>
    <w:rsid w:val="00FC71D9"/>
    <w:rsid w:val="00FD0009"/>
    <w:rsid w:val="00FD08C8"/>
    <w:rsid w:val="00FD2849"/>
    <w:rsid w:val="00FD4825"/>
    <w:rsid w:val="00FD4CCA"/>
    <w:rsid w:val="00FD63EE"/>
    <w:rsid w:val="00FD74C4"/>
    <w:rsid w:val="00FE0DCA"/>
    <w:rsid w:val="00FE13AA"/>
    <w:rsid w:val="00FE1BEF"/>
    <w:rsid w:val="00FE3D73"/>
    <w:rsid w:val="00FE493B"/>
    <w:rsid w:val="00FE6C29"/>
    <w:rsid w:val="00FE7218"/>
    <w:rsid w:val="00FF1408"/>
    <w:rsid w:val="00FF15DB"/>
    <w:rsid w:val="00FF4D9A"/>
    <w:rsid w:val="00FF571D"/>
    <w:rsid w:val="00FF5CAF"/>
    <w:rsid w:val="00FF622D"/>
    <w:rsid w:val="00FF6B84"/>
    <w:rsid w:val="00FF72DE"/>
    <w:rsid w:val="00FF7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C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37CD2"/>
    <w:pPr>
      <w:keepNext/>
      <w:widowControl w:val="0"/>
      <w:numPr>
        <w:numId w:val="1"/>
      </w:numPr>
      <w:autoSpaceDE w:val="0"/>
      <w:autoSpaceDN w:val="0"/>
      <w:snapToGrid w:val="0"/>
      <w:spacing w:before="240" w:after="60"/>
      <w:jc w:val="both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737CD2"/>
    <w:pPr>
      <w:keepNext/>
      <w:numPr>
        <w:ilvl w:val="1"/>
        <w:numId w:val="1"/>
      </w:numPr>
      <w:jc w:val="center"/>
      <w:outlineLvl w:val="1"/>
    </w:pPr>
    <w:rPr>
      <w:color w:val="FF0000"/>
      <w:sz w:val="26"/>
      <w:szCs w:val="26"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rsid w:val="00737CD2"/>
    <w:pPr>
      <w:keepNext/>
      <w:numPr>
        <w:ilvl w:val="2"/>
        <w:numId w:val="1"/>
      </w:numPr>
      <w:jc w:val="center"/>
      <w:outlineLvl w:val="2"/>
    </w:pPr>
    <w:rPr>
      <w:b/>
      <w:bCs/>
      <w:i/>
      <w:iCs/>
      <w:sz w:val="28"/>
      <w:szCs w:val="28"/>
      <w:lang w:val="x-none" w:eastAsia="x-none"/>
    </w:rPr>
  </w:style>
  <w:style w:type="paragraph" w:styleId="4">
    <w:name w:val="heading 4"/>
    <w:basedOn w:val="a"/>
    <w:next w:val="a"/>
    <w:link w:val="40"/>
    <w:uiPriority w:val="99"/>
    <w:qFormat/>
    <w:rsid w:val="00737CD2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uiPriority w:val="99"/>
    <w:qFormat/>
    <w:rsid w:val="00737CD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uiPriority w:val="99"/>
    <w:qFormat/>
    <w:rsid w:val="00737CD2"/>
    <w:pPr>
      <w:numPr>
        <w:ilvl w:val="5"/>
        <w:numId w:val="1"/>
      </w:numPr>
      <w:spacing w:before="240" w:after="60"/>
      <w:outlineLvl w:val="5"/>
    </w:pPr>
    <w:rPr>
      <w:b/>
      <w:bCs/>
      <w:lang w:val="x-none" w:eastAsia="x-none"/>
    </w:rPr>
  </w:style>
  <w:style w:type="paragraph" w:styleId="7">
    <w:name w:val="heading 7"/>
    <w:basedOn w:val="a"/>
    <w:next w:val="a"/>
    <w:link w:val="70"/>
    <w:uiPriority w:val="99"/>
    <w:qFormat/>
    <w:rsid w:val="00737CD2"/>
    <w:pPr>
      <w:numPr>
        <w:ilvl w:val="6"/>
        <w:numId w:val="1"/>
      </w:numPr>
      <w:spacing w:before="240" w:after="60"/>
      <w:outlineLvl w:val="6"/>
    </w:pPr>
    <w:rPr>
      <w:sz w:val="24"/>
      <w:szCs w:val="24"/>
      <w:lang w:val="x-none" w:eastAsia="x-none"/>
    </w:rPr>
  </w:style>
  <w:style w:type="paragraph" w:styleId="8">
    <w:name w:val="heading 8"/>
    <w:basedOn w:val="a"/>
    <w:next w:val="a"/>
    <w:link w:val="80"/>
    <w:uiPriority w:val="99"/>
    <w:qFormat/>
    <w:rsid w:val="00737CD2"/>
    <w:pPr>
      <w:keepNext/>
      <w:numPr>
        <w:ilvl w:val="7"/>
        <w:numId w:val="1"/>
      </w:numPr>
      <w:jc w:val="center"/>
      <w:outlineLvl w:val="7"/>
    </w:pPr>
    <w:rPr>
      <w:b/>
      <w:bCs/>
      <w:sz w:val="26"/>
      <w:szCs w:val="26"/>
      <w:lang w:val="x-none" w:eastAsia="x-none"/>
    </w:rPr>
  </w:style>
  <w:style w:type="paragraph" w:styleId="9">
    <w:name w:val="heading 9"/>
    <w:basedOn w:val="a"/>
    <w:next w:val="a"/>
    <w:link w:val="90"/>
    <w:uiPriority w:val="99"/>
    <w:qFormat/>
    <w:rsid w:val="00737CD2"/>
    <w:pPr>
      <w:numPr>
        <w:ilvl w:val="8"/>
        <w:numId w:val="1"/>
      </w:numPr>
      <w:spacing w:before="240" w:after="60"/>
      <w:outlineLvl w:val="8"/>
    </w:pPr>
    <w:rPr>
      <w:rFonts w:ascii="Cambria" w:hAnsi="Cambria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11"/>
    <w:uiPriority w:val="10"/>
    <w:qFormat/>
    <w:rsid w:val="00D74CC2"/>
    <w:pPr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4">
    <w:name w:val="Название Знак"/>
    <w:basedOn w:val="a0"/>
    <w:uiPriority w:val="10"/>
    <w:rsid w:val="00D74CC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1">
    <w:name w:val="Название Знак1"/>
    <w:link w:val="a3"/>
    <w:uiPriority w:val="10"/>
    <w:locked/>
    <w:rsid w:val="00D74CC2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a5">
    <w:name w:val="List Paragraph"/>
    <w:basedOn w:val="a"/>
    <w:uiPriority w:val="34"/>
    <w:qFormat/>
    <w:rsid w:val="00516891"/>
    <w:pPr>
      <w:ind w:left="720"/>
      <w:contextualSpacing/>
    </w:pPr>
  </w:style>
  <w:style w:type="paragraph" w:styleId="a6">
    <w:name w:val="footnote text"/>
    <w:aliases w:val="Table_Footnote_last,Schriftart: 9 pt,Schriftart: 10 pt,Schriftart: 8 pt,Текст сноски Знак1 Знак,Текст сноски Знак Знак Знак,Footnote Text Char Знак Знак,Footnote Text Char Знак,single space,Текст сноски-FN,footnote text,fn,f"/>
    <w:basedOn w:val="a"/>
    <w:link w:val="a7"/>
    <w:uiPriority w:val="99"/>
    <w:unhideWhenUsed/>
    <w:rsid w:val="00F300CC"/>
  </w:style>
  <w:style w:type="character" w:customStyle="1" w:styleId="a7">
    <w:name w:val="Текст сноски Знак"/>
    <w:aliases w:val="Table_Footnote_last Знак,Schriftart: 9 pt Знак,Schriftart: 10 pt Знак,Schriftart: 8 pt Знак,Текст сноски Знак1 Знак Знак,Текст сноски Знак Знак Знак Знак,Footnote Text Char Знак Знак Знак,Footnote Text Char Знак Знак1,single space Знак"/>
    <w:basedOn w:val="a0"/>
    <w:link w:val="a6"/>
    <w:uiPriority w:val="99"/>
    <w:rsid w:val="00F300C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aliases w:val="Знак сноски 1,Знак сноски-FN,Ciae niinee-FN,SUPERS,Referencia nota al pie,fr,Used by Word for Help footnote symbols,16 Point,Superscript 6 Point,BVI fnr,Ciae niinee 1,Footnote Reference Number,ftref,анкета сноска,Ссылка на сноску 45"/>
    <w:basedOn w:val="a0"/>
    <w:unhideWhenUsed/>
    <w:rsid w:val="00F300CC"/>
    <w:rPr>
      <w:vertAlign w:val="superscript"/>
    </w:rPr>
  </w:style>
  <w:style w:type="paragraph" w:styleId="a9">
    <w:name w:val="endnote text"/>
    <w:basedOn w:val="a"/>
    <w:link w:val="aa"/>
    <w:uiPriority w:val="99"/>
    <w:semiHidden/>
    <w:unhideWhenUsed/>
    <w:rsid w:val="00FF1408"/>
  </w:style>
  <w:style w:type="character" w:customStyle="1" w:styleId="aa">
    <w:name w:val="Текст концевой сноски Знак"/>
    <w:basedOn w:val="a0"/>
    <w:link w:val="a9"/>
    <w:uiPriority w:val="99"/>
    <w:semiHidden/>
    <w:rsid w:val="00FF140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endnote reference"/>
    <w:basedOn w:val="a0"/>
    <w:uiPriority w:val="99"/>
    <w:semiHidden/>
    <w:unhideWhenUsed/>
    <w:rsid w:val="00FF1408"/>
    <w:rPr>
      <w:vertAlign w:val="superscript"/>
    </w:rPr>
  </w:style>
  <w:style w:type="character" w:customStyle="1" w:styleId="21">
    <w:name w:val="Текст сноски Знак2"/>
    <w:aliases w:val="Table_Footnote_last Знак1,Schriftart: 9 pt Знак1,Schriftart: 10 pt Знак1,Schriftart: 8 pt Знак1,Текст сноски Знак Знак1,Текст сноски Знак1 Знак Знак1,Текст сноски Знак Знак Знак Знак1,Footnote Text Char Знак Знак Знак1,fn Знак"/>
    <w:uiPriority w:val="99"/>
    <w:locked/>
    <w:rsid w:val="000F022C"/>
    <w:rPr>
      <w:sz w:val="20"/>
      <w:szCs w:val="20"/>
    </w:rPr>
  </w:style>
  <w:style w:type="character" w:styleId="ac">
    <w:name w:val="Hyperlink"/>
    <w:uiPriority w:val="99"/>
    <w:rsid w:val="00EA59DC"/>
    <w:rPr>
      <w:color w:val="0000FF"/>
      <w:u w:val="single"/>
    </w:rPr>
  </w:style>
  <w:style w:type="paragraph" w:customStyle="1" w:styleId="ConsPlusNormal">
    <w:name w:val="ConsPlusNormal"/>
    <w:rsid w:val="00A363F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A232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d">
    <w:name w:val="Table Grid"/>
    <w:basedOn w:val="a1"/>
    <w:uiPriority w:val="59"/>
    <w:rsid w:val="00A232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unhideWhenUsed/>
    <w:rsid w:val="00800FA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800F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800FA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800F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Normal (Web)"/>
    <w:basedOn w:val="a"/>
    <w:uiPriority w:val="99"/>
    <w:unhideWhenUsed/>
    <w:rsid w:val="00A3175A"/>
    <w:rPr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744C8A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744C8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37CD2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uiPriority w:val="99"/>
    <w:rsid w:val="00737CD2"/>
    <w:rPr>
      <w:rFonts w:ascii="Times New Roman" w:eastAsia="Times New Roman" w:hAnsi="Times New Roman" w:cs="Times New Roman"/>
      <w:color w:val="FF0000"/>
      <w:sz w:val="26"/>
      <w:szCs w:val="26"/>
      <w:lang w:val="x-none" w:eastAsia="x-none"/>
    </w:rPr>
  </w:style>
  <w:style w:type="character" w:customStyle="1" w:styleId="30">
    <w:name w:val="Заголовок 3 Знак"/>
    <w:basedOn w:val="a0"/>
    <w:link w:val="3"/>
    <w:uiPriority w:val="99"/>
    <w:rsid w:val="00737CD2"/>
    <w:rPr>
      <w:rFonts w:ascii="Times New Roman" w:eastAsia="Times New Roman" w:hAnsi="Times New Roman" w:cs="Times New Roman"/>
      <w:b/>
      <w:bCs/>
      <w:i/>
      <w:iCs/>
      <w:sz w:val="28"/>
      <w:szCs w:val="28"/>
      <w:lang w:val="x-none" w:eastAsia="x-none"/>
    </w:rPr>
  </w:style>
  <w:style w:type="character" w:customStyle="1" w:styleId="40">
    <w:name w:val="Заголовок 4 Знак"/>
    <w:basedOn w:val="a0"/>
    <w:link w:val="4"/>
    <w:uiPriority w:val="99"/>
    <w:rsid w:val="00737CD2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uiPriority w:val="99"/>
    <w:rsid w:val="00737CD2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uiPriority w:val="99"/>
    <w:rsid w:val="00737CD2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70">
    <w:name w:val="Заголовок 7 Знак"/>
    <w:basedOn w:val="a0"/>
    <w:link w:val="7"/>
    <w:uiPriority w:val="99"/>
    <w:rsid w:val="00737CD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80">
    <w:name w:val="Заголовок 8 Знак"/>
    <w:basedOn w:val="a0"/>
    <w:link w:val="8"/>
    <w:uiPriority w:val="99"/>
    <w:rsid w:val="00737CD2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90">
    <w:name w:val="Заголовок 9 Знак"/>
    <w:basedOn w:val="a0"/>
    <w:link w:val="9"/>
    <w:uiPriority w:val="99"/>
    <w:rsid w:val="00737CD2"/>
    <w:rPr>
      <w:rFonts w:ascii="Cambria" w:eastAsia="Times New Roman" w:hAnsi="Cambria" w:cs="Times New Roman"/>
      <w:sz w:val="20"/>
      <w:szCs w:val="20"/>
      <w:lang w:val="x-none" w:eastAsia="x-none"/>
    </w:rPr>
  </w:style>
  <w:style w:type="paragraph" w:styleId="af5">
    <w:name w:val="TOC Heading"/>
    <w:basedOn w:val="1"/>
    <w:next w:val="a"/>
    <w:uiPriority w:val="39"/>
    <w:unhideWhenUsed/>
    <w:qFormat/>
    <w:rsid w:val="00F34899"/>
    <w:pPr>
      <w:keepLines/>
      <w:widowControl/>
      <w:numPr>
        <w:numId w:val="0"/>
      </w:numPr>
      <w:autoSpaceDE/>
      <w:autoSpaceDN/>
      <w:snapToGrid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ru-RU" w:eastAsia="en-US"/>
    </w:rPr>
  </w:style>
  <w:style w:type="paragraph" w:styleId="12">
    <w:name w:val="toc 1"/>
    <w:basedOn w:val="a"/>
    <w:next w:val="a"/>
    <w:autoRedefine/>
    <w:uiPriority w:val="39"/>
    <w:unhideWhenUsed/>
    <w:rsid w:val="00F34899"/>
    <w:pPr>
      <w:spacing w:after="100"/>
    </w:pPr>
  </w:style>
  <w:style w:type="paragraph" w:styleId="22">
    <w:name w:val="toc 2"/>
    <w:basedOn w:val="a"/>
    <w:next w:val="a"/>
    <w:autoRedefine/>
    <w:uiPriority w:val="39"/>
    <w:unhideWhenUsed/>
    <w:rsid w:val="00F34899"/>
    <w:pPr>
      <w:spacing w:after="100"/>
      <w:ind w:left="200"/>
    </w:pPr>
  </w:style>
  <w:style w:type="paragraph" w:styleId="af6">
    <w:name w:val="caption"/>
    <w:basedOn w:val="a"/>
    <w:next w:val="a"/>
    <w:uiPriority w:val="35"/>
    <w:qFormat/>
    <w:rsid w:val="00EF2923"/>
    <w:pPr>
      <w:widowControl w:val="0"/>
      <w:autoSpaceDE w:val="0"/>
      <w:autoSpaceDN w:val="0"/>
      <w:snapToGrid w:val="0"/>
      <w:ind w:firstLine="720"/>
      <w:jc w:val="center"/>
    </w:pPr>
    <w:rPr>
      <w:b/>
      <w:bCs/>
      <w:sz w:val="24"/>
      <w:szCs w:val="24"/>
    </w:rPr>
  </w:style>
  <w:style w:type="character" w:styleId="af7">
    <w:name w:val="Emphasis"/>
    <w:basedOn w:val="a0"/>
    <w:uiPriority w:val="20"/>
    <w:qFormat/>
    <w:rsid w:val="00CE4DFD"/>
    <w:rPr>
      <w:rFonts w:cs="Times New Roman"/>
      <w:i/>
    </w:rPr>
  </w:style>
  <w:style w:type="paragraph" w:customStyle="1" w:styleId="CharChar">
    <w:name w:val="Char Char"/>
    <w:basedOn w:val="a"/>
    <w:autoRedefine/>
    <w:rsid w:val="008E2EE4"/>
    <w:pPr>
      <w:spacing w:after="160" w:line="240" w:lineRule="exact"/>
    </w:pPr>
    <w:rPr>
      <w:sz w:val="28"/>
      <w:lang w:val="en-US" w:eastAsia="en-US"/>
    </w:rPr>
  </w:style>
  <w:style w:type="paragraph" w:styleId="af8">
    <w:name w:val="No Spacing"/>
    <w:basedOn w:val="a"/>
    <w:link w:val="af9"/>
    <w:uiPriority w:val="99"/>
    <w:qFormat/>
    <w:rsid w:val="005E3CCC"/>
    <w:rPr>
      <w:rFonts w:eastAsia="Calibri"/>
      <w:lang w:eastAsia="ar-SA"/>
    </w:rPr>
  </w:style>
  <w:style w:type="character" w:customStyle="1" w:styleId="af9">
    <w:name w:val="Без интервала Знак"/>
    <w:link w:val="af8"/>
    <w:uiPriority w:val="99"/>
    <w:rsid w:val="005E3CCC"/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CharChar3">
    <w:name w:val="Char Char3"/>
    <w:basedOn w:val="a"/>
    <w:autoRedefine/>
    <w:rsid w:val="00E01195"/>
    <w:pPr>
      <w:spacing w:after="160" w:line="240" w:lineRule="exact"/>
    </w:pPr>
    <w:rPr>
      <w:sz w:val="28"/>
      <w:lang w:val="en-US" w:eastAsia="en-US"/>
    </w:rPr>
  </w:style>
  <w:style w:type="paragraph" w:styleId="afa">
    <w:name w:val="Subtitle"/>
    <w:basedOn w:val="a"/>
    <w:next w:val="a"/>
    <w:link w:val="afb"/>
    <w:uiPriority w:val="11"/>
    <w:qFormat/>
    <w:rsid w:val="00DC42D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b">
    <w:name w:val="Подзаголовок Знак"/>
    <w:basedOn w:val="a0"/>
    <w:link w:val="afa"/>
    <w:uiPriority w:val="11"/>
    <w:rsid w:val="00DC42DC"/>
    <w:rPr>
      <w:rFonts w:eastAsiaTheme="minorEastAsia"/>
      <w:color w:val="5A5A5A" w:themeColor="text1" w:themeTint="A5"/>
      <w:spacing w:val="15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075A94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styleId="afc">
    <w:name w:val="Strong"/>
    <w:basedOn w:val="a0"/>
    <w:uiPriority w:val="22"/>
    <w:qFormat/>
    <w:rsid w:val="008A6AB7"/>
    <w:rPr>
      <w:b/>
      <w:bCs/>
    </w:rPr>
  </w:style>
  <w:style w:type="character" w:styleId="afd">
    <w:name w:val="FollowedHyperlink"/>
    <w:basedOn w:val="a0"/>
    <w:uiPriority w:val="99"/>
    <w:semiHidden/>
    <w:unhideWhenUsed/>
    <w:rsid w:val="00BF71EF"/>
    <w:rPr>
      <w:color w:val="800080" w:themeColor="followedHyperlink"/>
      <w:u w:val="single"/>
    </w:rPr>
  </w:style>
  <w:style w:type="character" w:customStyle="1" w:styleId="sptxt">
    <w:name w:val="sp_txt"/>
    <w:basedOn w:val="a0"/>
    <w:rsid w:val="004B7CB6"/>
  </w:style>
  <w:style w:type="paragraph" w:styleId="afe">
    <w:name w:val="Body Text Indent"/>
    <w:basedOn w:val="a"/>
    <w:link w:val="aff"/>
    <w:rsid w:val="00950A43"/>
    <w:pPr>
      <w:ind w:firstLine="708"/>
      <w:jc w:val="both"/>
    </w:pPr>
    <w:rPr>
      <w:sz w:val="24"/>
      <w:szCs w:val="24"/>
    </w:rPr>
  </w:style>
  <w:style w:type="character" w:customStyle="1" w:styleId="aff">
    <w:name w:val="Основной текст с отступом Знак"/>
    <w:basedOn w:val="a0"/>
    <w:link w:val="afe"/>
    <w:rsid w:val="00950A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Абзац списка1"/>
    <w:basedOn w:val="a"/>
    <w:rsid w:val="00FB3C14"/>
    <w:pPr>
      <w:suppressAutoHyphens/>
      <w:spacing w:after="200" w:line="276" w:lineRule="auto"/>
      <w:ind w:left="720"/>
      <w:contextualSpacing/>
      <w:jc w:val="both"/>
    </w:pPr>
    <w:rPr>
      <w:rFonts w:ascii="Calibri" w:eastAsia="Calibri" w:hAnsi="Calibri" w:cs="Calibri"/>
      <w:sz w:val="22"/>
      <w:szCs w:val="22"/>
      <w:lang w:eastAsia="zh-CN"/>
    </w:rPr>
  </w:style>
  <w:style w:type="paragraph" w:styleId="aff0">
    <w:name w:val="Body Text"/>
    <w:basedOn w:val="a"/>
    <w:link w:val="aff1"/>
    <w:rsid w:val="00DE2909"/>
    <w:pPr>
      <w:jc w:val="both"/>
    </w:pPr>
    <w:rPr>
      <w:sz w:val="28"/>
    </w:rPr>
  </w:style>
  <w:style w:type="character" w:customStyle="1" w:styleId="aff1">
    <w:name w:val="Основной текст Знак"/>
    <w:basedOn w:val="a0"/>
    <w:link w:val="aff0"/>
    <w:rsid w:val="00DE29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2">
    <w:name w:val="Body Text 3"/>
    <w:basedOn w:val="a"/>
    <w:link w:val="33"/>
    <w:uiPriority w:val="99"/>
    <w:unhideWhenUsed/>
    <w:rsid w:val="00A742B3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A742B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harChar2">
    <w:name w:val="Char Char2"/>
    <w:basedOn w:val="a"/>
    <w:autoRedefine/>
    <w:rsid w:val="003F01A4"/>
    <w:pPr>
      <w:spacing w:after="160" w:line="240" w:lineRule="exact"/>
    </w:pPr>
    <w:rPr>
      <w:sz w:val="28"/>
      <w:lang w:val="en-US" w:eastAsia="en-US"/>
    </w:rPr>
  </w:style>
  <w:style w:type="paragraph" w:customStyle="1" w:styleId="CharChar1">
    <w:name w:val="Char Char1"/>
    <w:basedOn w:val="a"/>
    <w:autoRedefine/>
    <w:rsid w:val="00741BB6"/>
    <w:pPr>
      <w:spacing w:after="160" w:line="240" w:lineRule="exact"/>
    </w:pPr>
    <w:rPr>
      <w:sz w:val="28"/>
      <w:lang w:val="en-US" w:eastAsia="en-US"/>
    </w:rPr>
  </w:style>
  <w:style w:type="character" w:styleId="aff2">
    <w:name w:val="annotation reference"/>
    <w:basedOn w:val="a0"/>
    <w:uiPriority w:val="99"/>
    <w:semiHidden/>
    <w:unhideWhenUsed/>
    <w:rsid w:val="00D149B0"/>
    <w:rPr>
      <w:sz w:val="16"/>
      <w:szCs w:val="16"/>
    </w:rPr>
  </w:style>
  <w:style w:type="paragraph" w:styleId="aff3">
    <w:name w:val="annotation text"/>
    <w:basedOn w:val="a"/>
    <w:link w:val="aff4"/>
    <w:uiPriority w:val="99"/>
    <w:semiHidden/>
    <w:unhideWhenUsed/>
    <w:rsid w:val="00D149B0"/>
  </w:style>
  <w:style w:type="character" w:customStyle="1" w:styleId="aff4">
    <w:name w:val="Текст примечания Знак"/>
    <w:basedOn w:val="a0"/>
    <w:link w:val="aff3"/>
    <w:uiPriority w:val="99"/>
    <w:semiHidden/>
    <w:rsid w:val="00D149B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5">
    <w:name w:val="annotation subject"/>
    <w:basedOn w:val="aff3"/>
    <w:next w:val="aff3"/>
    <w:link w:val="aff6"/>
    <w:uiPriority w:val="99"/>
    <w:semiHidden/>
    <w:unhideWhenUsed/>
    <w:rsid w:val="00D149B0"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semiHidden/>
    <w:rsid w:val="00D149B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harChar0">
    <w:name w:val="Char Char"/>
    <w:basedOn w:val="a"/>
    <w:autoRedefine/>
    <w:rsid w:val="002D66B7"/>
    <w:pPr>
      <w:spacing w:after="160" w:line="240" w:lineRule="exact"/>
    </w:pPr>
    <w:rPr>
      <w:sz w:val="28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C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37CD2"/>
    <w:pPr>
      <w:keepNext/>
      <w:widowControl w:val="0"/>
      <w:numPr>
        <w:numId w:val="1"/>
      </w:numPr>
      <w:autoSpaceDE w:val="0"/>
      <w:autoSpaceDN w:val="0"/>
      <w:snapToGrid w:val="0"/>
      <w:spacing w:before="240" w:after="60"/>
      <w:jc w:val="both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737CD2"/>
    <w:pPr>
      <w:keepNext/>
      <w:numPr>
        <w:ilvl w:val="1"/>
        <w:numId w:val="1"/>
      </w:numPr>
      <w:jc w:val="center"/>
      <w:outlineLvl w:val="1"/>
    </w:pPr>
    <w:rPr>
      <w:color w:val="FF0000"/>
      <w:sz w:val="26"/>
      <w:szCs w:val="26"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rsid w:val="00737CD2"/>
    <w:pPr>
      <w:keepNext/>
      <w:numPr>
        <w:ilvl w:val="2"/>
        <w:numId w:val="1"/>
      </w:numPr>
      <w:jc w:val="center"/>
      <w:outlineLvl w:val="2"/>
    </w:pPr>
    <w:rPr>
      <w:b/>
      <w:bCs/>
      <w:i/>
      <w:iCs/>
      <w:sz w:val="28"/>
      <w:szCs w:val="28"/>
      <w:lang w:val="x-none" w:eastAsia="x-none"/>
    </w:rPr>
  </w:style>
  <w:style w:type="paragraph" w:styleId="4">
    <w:name w:val="heading 4"/>
    <w:basedOn w:val="a"/>
    <w:next w:val="a"/>
    <w:link w:val="40"/>
    <w:uiPriority w:val="99"/>
    <w:qFormat/>
    <w:rsid w:val="00737CD2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uiPriority w:val="99"/>
    <w:qFormat/>
    <w:rsid w:val="00737CD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uiPriority w:val="99"/>
    <w:qFormat/>
    <w:rsid w:val="00737CD2"/>
    <w:pPr>
      <w:numPr>
        <w:ilvl w:val="5"/>
        <w:numId w:val="1"/>
      </w:numPr>
      <w:spacing w:before="240" w:after="60"/>
      <w:outlineLvl w:val="5"/>
    </w:pPr>
    <w:rPr>
      <w:b/>
      <w:bCs/>
      <w:lang w:val="x-none" w:eastAsia="x-none"/>
    </w:rPr>
  </w:style>
  <w:style w:type="paragraph" w:styleId="7">
    <w:name w:val="heading 7"/>
    <w:basedOn w:val="a"/>
    <w:next w:val="a"/>
    <w:link w:val="70"/>
    <w:uiPriority w:val="99"/>
    <w:qFormat/>
    <w:rsid w:val="00737CD2"/>
    <w:pPr>
      <w:numPr>
        <w:ilvl w:val="6"/>
        <w:numId w:val="1"/>
      </w:numPr>
      <w:spacing w:before="240" w:after="60"/>
      <w:outlineLvl w:val="6"/>
    </w:pPr>
    <w:rPr>
      <w:sz w:val="24"/>
      <w:szCs w:val="24"/>
      <w:lang w:val="x-none" w:eastAsia="x-none"/>
    </w:rPr>
  </w:style>
  <w:style w:type="paragraph" w:styleId="8">
    <w:name w:val="heading 8"/>
    <w:basedOn w:val="a"/>
    <w:next w:val="a"/>
    <w:link w:val="80"/>
    <w:uiPriority w:val="99"/>
    <w:qFormat/>
    <w:rsid w:val="00737CD2"/>
    <w:pPr>
      <w:keepNext/>
      <w:numPr>
        <w:ilvl w:val="7"/>
        <w:numId w:val="1"/>
      </w:numPr>
      <w:jc w:val="center"/>
      <w:outlineLvl w:val="7"/>
    </w:pPr>
    <w:rPr>
      <w:b/>
      <w:bCs/>
      <w:sz w:val="26"/>
      <w:szCs w:val="26"/>
      <w:lang w:val="x-none" w:eastAsia="x-none"/>
    </w:rPr>
  </w:style>
  <w:style w:type="paragraph" w:styleId="9">
    <w:name w:val="heading 9"/>
    <w:basedOn w:val="a"/>
    <w:next w:val="a"/>
    <w:link w:val="90"/>
    <w:uiPriority w:val="99"/>
    <w:qFormat/>
    <w:rsid w:val="00737CD2"/>
    <w:pPr>
      <w:numPr>
        <w:ilvl w:val="8"/>
        <w:numId w:val="1"/>
      </w:numPr>
      <w:spacing w:before="240" w:after="60"/>
      <w:outlineLvl w:val="8"/>
    </w:pPr>
    <w:rPr>
      <w:rFonts w:ascii="Cambria" w:hAnsi="Cambria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11"/>
    <w:uiPriority w:val="10"/>
    <w:qFormat/>
    <w:rsid w:val="00D74CC2"/>
    <w:pPr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4">
    <w:name w:val="Название Знак"/>
    <w:basedOn w:val="a0"/>
    <w:uiPriority w:val="10"/>
    <w:rsid w:val="00D74CC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1">
    <w:name w:val="Название Знак1"/>
    <w:link w:val="a3"/>
    <w:uiPriority w:val="10"/>
    <w:locked/>
    <w:rsid w:val="00D74CC2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a5">
    <w:name w:val="List Paragraph"/>
    <w:basedOn w:val="a"/>
    <w:uiPriority w:val="34"/>
    <w:qFormat/>
    <w:rsid w:val="00516891"/>
    <w:pPr>
      <w:ind w:left="720"/>
      <w:contextualSpacing/>
    </w:pPr>
  </w:style>
  <w:style w:type="paragraph" w:styleId="a6">
    <w:name w:val="footnote text"/>
    <w:aliases w:val="Table_Footnote_last,Schriftart: 9 pt,Schriftart: 10 pt,Schriftart: 8 pt,Текст сноски Знак1 Знак,Текст сноски Знак Знак Знак,Footnote Text Char Знак Знак,Footnote Text Char Знак,single space,Текст сноски-FN,footnote text,fn,f"/>
    <w:basedOn w:val="a"/>
    <w:link w:val="a7"/>
    <w:uiPriority w:val="99"/>
    <w:unhideWhenUsed/>
    <w:rsid w:val="00F300CC"/>
  </w:style>
  <w:style w:type="character" w:customStyle="1" w:styleId="a7">
    <w:name w:val="Текст сноски Знак"/>
    <w:aliases w:val="Table_Footnote_last Знак,Schriftart: 9 pt Знак,Schriftart: 10 pt Знак,Schriftart: 8 pt Знак,Текст сноски Знак1 Знак Знак,Текст сноски Знак Знак Знак Знак,Footnote Text Char Знак Знак Знак,Footnote Text Char Знак Знак1,single space Знак"/>
    <w:basedOn w:val="a0"/>
    <w:link w:val="a6"/>
    <w:uiPriority w:val="99"/>
    <w:rsid w:val="00F300C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aliases w:val="Знак сноски 1,Знак сноски-FN,Ciae niinee-FN,SUPERS,Referencia nota al pie,fr,Used by Word for Help footnote symbols,16 Point,Superscript 6 Point,BVI fnr,Ciae niinee 1,Footnote Reference Number,ftref,анкета сноска,Ссылка на сноску 45"/>
    <w:basedOn w:val="a0"/>
    <w:unhideWhenUsed/>
    <w:rsid w:val="00F300CC"/>
    <w:rPr>
      <w:vertAlign w:val="superscript"/>
    </w:rPr>
  </w:style>
  <w:style w:type="paragraph" w:styleId="a9">
    <w:name w:val="endnote text"/>
    <w:basedOn w:val="a"/>
    <w:link w:val="aa"/>
    <w:uiPriority w:val="99"/>
    <w:semiHidden/>
    <w:unhideWhenUsed/>
    <w:rsid w:val="00FF1408"/>
  </w:style>
  <w:style w:type="character" w:customStyle="1" w:styleId="aa">
    <w:name w:val="Текст концевой сноски Знак"/>
    <w:basedOn w:val="a0"/>
    <w:link w:val="a9"/>
    <w:uiPriority w:val="99"/>
    <w:semiHidden/>
    <w:rsid w:val="00FF140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endnote reference"/>
    <w:basedOn w:val="a0"/>
    <w:uiPriority w:val="99"/>
    <w:semiHidden/>
    <w:unhideWhenUsed/>
    <w:rsid w:val="00FF1408"/>
    <w:rPr>
      <w:vertAlign w:val="superscript"/>
    </w:rPr>
  </w:style>
  <w:style w:type="character" w:customStyle="1" w:styleId="21">
    <w:name w:val="Текст сноски Знак2"/>
    <w:aliases w:val="Table_Footnote_last Знак1,Schriftart: 9 pt Знак1,Schriftart: 10 pt Знак1,Schriftart: 8 pt Знак1,Текст сноски Знак Знак1,Текст сноски Знак1 Знак Знак1,Текст сноски Знак Знак Знак Знак1,Footnote Text Char Знак Знак Знак1,fn Знак"/>
    <w:uiPriority w:val="99"/>
    <w:locked/>
    <w:rsid w:val="000F022C"/>
    <w:rPr>
      <w:sz w:val="20"/>
      <w:szCs w:val="20"/>
    </w:rPr>
  </w:style>
  <w:style w:type="character" w:styleId="ac">
    <w:name w:val="Hyperlink"/>
    <w:uiPriority w:val="99"/>
    <w:rsid w:val="00EA59DC"/>
    <w:rPr>
      <w:color w:val="0000FF"/>
      <w:u w:val="single"/>
    </w:rPr>
  </w:style>
  <w:style w:type="paragraph" w:customStyle="1" w:styleId="ConsPlusNormal">
    <w:name w:val="ConsPlusNormal"/>
    <w:rsid w:val="00A363F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A232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d">
    <w:name w:val="Table Grid"/>
    <w:basedOn w:val="a1"/>
    <w:uiPriority w:val="59"/>
    <w:rsid w:val="00A232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unhideWhenUsed/>
    <w:rsid w:val="00800FA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800F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800FA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800F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Normal (Web)"/>
    <w:basedOn w:val="a"/>
    <w:uiPriority w:val="99"/>
    <w:unhideWhenUsed/>
    <w:rsid w:val="00A3175A"/>
    <w:rPr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744C8A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744C8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37CD2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uiPriority w:val="99"/>
    <w:rsid w:val="00737CD2"/>
    <w:rPr>
      <w:rFonts w:ascii="Times New Roman" w:eastAsia="Times New Roman" w:hAnsi="Times New Roman" w:cs="Times New Roman"/>
      <w:color w:val="FF0000"/>
      <w:sz w:val="26"/>
      <w:szCs w:val="26"/>
      <w:lang w:val="x-none" w:eastAsia="x-none"/>
    </w:rPr>
  </w:style>
  <w:style w:type="character" w:customStyle="1" w:styleId="30">
    <w:name w:val="Заголовок 3 Знак"/>
    <w:basedOn w:val="a0"/>
    <w:link w:val="3"/>
    <w:uiPriority w:val="99"/>
    <w:rsid w:val="00737CD2"/>
    <w:rPr>
      <w:rFonts w:ascii="Times New Roman" w:eastAsia="Times New Roman" w:hAnsi="Times New Roman" w:cs="Times New Roman"/>
      <w:b/>
      <w:bCs/>
      <w:i/>
      <w:iCs/>
      <w:sz w:val="28"/>
      <w:szCs w:val="28"/>
      <w:lang w:val="x-none" w:eastAsia="x-none"/>
    </w:rPr>
  </w:style>
  <w:style w:type="character" w:customStyle="1" w:styleId="40">
    <w:name w:val="Заголовок 4 Знак"/>
    <w:basedOn w:val="a0"/>
    <w:link w:val="4"/>
    <w:uiPriority w:val="99"/>
    <w:rsid w:val="00737CD2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uiPriority w:val="99"/>
    <w:rsid w:val="00737CD2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uiPriority w:val="99"/>
    <w:rsid w:val="00737CD2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70">
    <w:name w:val="Заголовок 7 Знак"/>
    <w:basedOn w:val="a0"/>
    <w:link w:val="7"/>
    <w:uiPriority w:val="99"/>
    <w:rsid w:val="00737CD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80">
    <w:name w:val="Заголовок 8 Знак"/>
    <w:basedOn w:val="a0"/>
    <w:link w:val="8"/>
    <w:uiPriority w:val="99"/>
    <w:rsid w:val="00737CD2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90">
    <w:name w:val="Заголовок 9 Знак"/>
    <w:basedOn w:val="a0"/>
    <w:link w:val="9"/>
    <w:uiPriority w:val="99"/>
    <w:rsid w:val="00737CD2"/>
    <w:rPr>
      <w:rFonts w:ascii="Cambria" w:eastAsia="Times New Roman" w:hAnsi="Cambria" w:cs="Times New Roman"/>
      <w:sz w:val="20"/>
      <w:szCs w:val="20"/>
      <w:lang w:val="x-none" w:eastAsia="x-none"/>
    </w:rPr>
  </w:style>
  <w:style w:type="paragraph" w:styleId="af5">
    <w:name w:val="TOC Heading"/>
    <w:basedOn w:val="1"/>
    <w:next w:val="a"/>
    <w:uiPriority w:val="39"/>
    <w:unhideWhenUsed/>
    <w:qFormat/>
    <w:rsid w:val="00F34899"/>
    <w:pPr>
      <w:keepLines/>
      <w:widowControl/>
      <w:numPr>
        <w:numId w:val="0"/>
      </w:numPr>
      <w:autoSpaceDE/>
      <w:autoSpaceDN/>
      <w:snapToGrid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ru-RU" w:eastAsia="en-US"/>
    </w:rPr>
  </w:style>
  <w:style w:type="paragraph" w:styleId="12">
    <w:name w:val="toc 1"/>
    <w:basedOn w:val="a"/>
    <w:next w:val="a"/>
    <w:autoRedefine/>
    <w:uiPriority w:val="39"/>
    <w:unhideWhenUsed/>
    <w:rsid w:val="00F34899"/>
    <w:pPr>
      <w:spacing w:after="100"/>
    </w:pPr>
  </w:style>
  <w:style w:type="paragraph" w:styleId="22">
    <w:name w:val="toc 2"/>
    <w:basedOn w:val="a"/>
    <w:next w:val="a"/>
    <w:autoRedefine/>
    <w:uiPriority w:val="39"/>
    <w:unhideWhenUsed/>
    <w:rsid w:val="00F34899"/>
    <w:pPr>
      <w:spacing w:after="100"/>
      <w:ind w:left="200"/>
    </w:pPr>
  </w:style>
  <w:style w:type="paragraph" w:styleId="af6">
    <w:name w:val="caption"/>
    <w:basedOn w:val="a"/>
    <w:next w:val="a"/>
    <w:uiPriority w:val="35"/>
    <w:qFormat/>
    <w:rsid w:val="00EF2923"/>
    <w:pPr>
      <w:widowControl w:val="0"/>
      <w:autoSpaceDE w:val="0"/>
      <w:autoSpaceDN w:val="0"/>
      <w:snapToGrid w:val="0"/>
      <w:ind w:firstLine="720"/>
      <w:jc w:val="center"/>
    </w:pPr>
    <w:rPr>
      <w:b/>
      <w:bCs/>
      <w:sz w:val="24"/>
      <w:szCs w:val="24"/>
    </w:rPr>
  </w:style>
  <w:style w:type="character" w:styleId="af7">
    <w:name w:val="Emphasis"/>
    <w:basedOn w:val="a0"/>
    <w:uiPriority w:val="20"/>
    <w:qFormat/>
    <w:rsid w:val="00CE4DFD"/>
    <w:rPr>
      <w:rFonts w:cs="Times New Roman"/>
      <w:i/>
    </w:rPr>
  </w:style>
  <w:style w:type="paragraph" w:customStyle="1" w:styleId="CharChar">
    <w:name w:val="Char Char"/>
    <w:basedOn w:val="a"/>
    <w:autoRedefine/>
    <w:rsid w:val="008E2EE4"/>
    <w:pPr>
      <w:spacing w:after="160" w:line="240" w:lineRule="exact"/>
    </w:pPr>
    <w:rPr>
      <w:sz w:val="28"/>
      <w:lang w:val="en-US" w:eastAsia="en-US"/>
    </w:rPr>
  </w:style>
  <w:style w:type="paragraph" w:styleId="af8">
    <w:name w:val="No Spacing"/>
    <w:basedOn w:val="a"/>
    <w:link w:val="af9"/>
    <w:uiPriority w:val="99"/>
    <w:qFormat/>
    <w:rsid w:val="005E3CCC"/>
    <w:rPr>
      <w:rFonts w:eastAsia="Calibri"/>
      <w:lang w:eastAsia="ar-SA"/>
    </w:rPr>
  </w:style>
  <w:style w:type="character" w:customStyle="1" w:styleId="af9">
    <w:name w:val="Без интервала Знак"/>
    <w:link w:val="af8"/>
    <w:uiPriority w:val="99"/>
    <w:rsid w:val="005E3CCC"/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CharChar3">
    <w:name w:val="Char Char3"/>
    <w:basedOn w:val="a"/>
    <w:autoRedefine/>
    <w:rsid w:val="00E01195"/>
    <w:pPr>
      <w:spacing w:after="160" w:line="240" w:lineRule="exact"/>
    </w:pPr>
    <w:rPr>
      <w:sz w:val="28"/>
      <w:lang w:val="en-US" w:eastAsia="en-US"/>
    </w:rPr>
  </w:style>
  <w:style w:type="paragraph" w:styleId="afa">
    <w:name w:val="Subtitle"/>
    <w:basedOn w:val="a"/>
    <w:next w:val="a"/>
    <w:link w:val="afb"/>
    <w:uiPriority w:val="11"/>
    <w:qFormat/>
    <w:rsid w:val="00DC42D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b">
    <w:name w:val="Подзаголовок Знак"/>
    <w:basedOn w:val="a0"/>
    <w:link w:val="afa"/>
    <w:uiPriority w:val="11"/>
    <w:rsid w:val="00DC42DC"/>
    <w:rPr>
      <w:rFonts w:eastAsiaTheme="minorEastAsia"/>
      <w:color w:val="5A5A5A" w:themeColor="text1" w:themeTint="A5"/>
      <w:spacing w:val="15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075A94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styleId="afc">
    <w:name w:val="Strong"/>
    <w:basedOn w:val="a0"/>
    <w:uiPriority w:val="22"/>
    <w:qFormat/>
    <w:rsid w:val="008A6AB7"/>
    <w:rPr>
      <w:b/>
      <w:bCs/>
    </w:rPr>
  </w:style>
  <w:style w:type="character" w:styleId="afd">
    <w:name w:val="FollowedHyperlink"/>
    <w:basedOn w:val="a0"/>
    <w:uiPriority w:val="99"/>
    <w:semiHidden/>
    <w:unhideWhenUsed/>
    <w:rsid w:val="00BF71EF"/>
    <w:rPr>
      <w:color w:val="800080" w:themeColor="followedHyperlink"/>
      <w:u w:val="single"/>
    </w:rPr>
  </w:style>
  <w:style w:type="character" w:customStyle="1" w:styleId="sptxt">
    <w:name w:val="sp_txt"/>
    <w:basedOn w:val="a0"/>
    <w:rsid w:val="004B7CB6"/>
  </w:style>
  <w:style w:type="paragraph" w:styleId="afe">
    <w:name w:val="Body Text Indent"/>
    <w:basedOn w:val="a"/>
    <w:link w:val="aff"/>
    <w:rsid w:val="00950A43"/>
    <w:pPr>
      <w:ind w:firstLine="708"/>
      <w:jc w:val="both"/>
    </w:pPr>
    <w:rPr>
      <w:sz w:val="24"/>
      <w:szCs w:val="24"/>
    </w:rPr>
  </w:style>
  <w:style w:type="character" w:customStyle="1" w:styleId="aff">
    <w:name w:val="Основной текст с отступом Знак"/>
    <w:basedOn w:val="a0"/>
    <w:link w:val="afe"/>
    <w:rsid w:val="00950A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Абзац списка1"/>
    <w:basedOn w:val="a"/>
    <w:rsid w:val="00FB3C14"/>
    <w:pPr>
      <w:suppressAutoHyphens/>
      <w:spacing w:after="200" w:line="276" w:lineRule="auto"/>
      <w:ind w:left="720"/>
      <w:contextualSpacing/>
      <w:jc w:val="both"/>
    </w:pPr>
    <w:rPr>
      <w:rFonts w:ascii="Calibri" w:eastAsia="Calibri" w:hAnsi="Calibri" w:cs="Calibri"/>
      <w:sz w:val="22"/>
      <w:szCs w:val="22"/>
      <w:lang w:eastAsia="zh-CN"/>
    </w:rPr>
  </w:style>
  <w:style w:type="paragraph" w:styleId="aff0">
    <w:name w:val="Body Text"/>
    <w:basedOn w:val="a"/>
    <w:link w:val="aff1"/>
    <w:rsid w:val="00DE2909"/>
    <w:pPr>
      <w:jc w:val="both"/>
    </w:pPr>
    <w:rPr>
      <w:sz w:val="28"/>
    </w:rPr>
  </w:style>
  <w:style w:type="character" w:customStyle="1" w:styleId="aff1">
    <w:name w:val="Основной текст Знак"/>
    <w:basedOn w:val="a0"/>
    <w:link w:val="aff0"/>
    <w:rsid w:val="00DE29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2">
    <w:name w:val="Body Text 3"/>
    <w:basedOn w:val="a"/>
    <w:link w:val="33"/>
    <w:uiPriority w:val="99"/>
    <w:unhideWhenUsed/>
    <w:rsid w:val="00A742B3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A742B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harChar2">
    <w:name w:val="Char Char2"/>
    <w:basedOn w:val="a"/>
    <w:autoRedefine/>
    <w:rsid w:val="003F01A4"/>
    <w:pPr>
      <w:spacing w:after="160" w:line="240" w:lineRule="exact"/>
    </w:pPr>
    <w:rPr>
      <w:sz w:val="28"/>
      <w:lang w:val="en-US" w:eastAsia="en-US"/>
    </w:rPr>
  </w:style>
  <w:style w:type="paragraph" w:customStyle="1" w:styleId="CharChar1">
    <w:name w:val="Char Char1"/>
    <w:basedOn w:val="a"/>
    <w:autoRedefine/>
    <w:rsid w:val="00741BB6"/>
    <w:pPr>
      <w:spacing w:after="160" w:line="240" w:lineRule="exact"/>
    </w:pPr>
    <w:rPr>
      <w:sz w:val="28"/>
      <w:lang w:val="en-US" w:eastAsia="en-US"/>
    </w:rPr>
  </w:style>
  <w:style w:type="character" w:styleId="aff2">
    <w:name w:val="annotation reference"/>
    <w:basedOn w:val="a0"/>
    <w:uiPriority w:val="99"/>
    <w:semiHidden/>
    <w:unhideWhenUsed/>
    <w:rsid w:val="00D149B0"/>
    <w:rPr>
      <w:sz w:val="16"/>
      <w:szCs w:val="16"/>
    </w:rPr>
  </w:style>
  <w:style w:type="paragraph" w:styleId="aff3">
    <w:name w:val="annotation text"/>
    <w:basedOn w:val="a"/>
    <w:link w:val="aff4"/>
    <w:uiPriority w:val="99"/>
    <w:semiHidden/>
    <w:unhideWhenUsed/>
    <w:rsid w:val="00D149B0"/>
  </w:style>
  <w:style w:type="character" w:customStyle="1" w:styleId="aff4">
    <w:name w:val="Текст примечания Знак"/>
    <w:basedOn w:val="a0"/>
    <w:link w:val="aff3"/>
    <w:uiPriority w:val="99"/>
    <w:semiHidden/>
    <w:rsid w:val="00D149B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5">
    <w:name w:val="annotation subject"/>
    <w:basedOn w:val="aff3"/>
    <w:next w:val="aff3"/>
    <w:link w:val="aff6"/>
    <w:uiPriority w:val="99"/>
    <w:semiHidden/>
    <w:unhideWhenUsed/>
    <w:rsid w:val="00D149B0"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semiHidden/>
    <w:rsid w:val="00D149B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harChar0">
    <w:name w:val="Char Char"/>
    <w:basedOn w:val="a"/>
    <w:autoRedefine/>
    <w:rsid w:val="002D66B7"/>
    <w:pPr>
      <w:spacing w:after="160" w:line="240" w:lineRule="exact"/>
    </w:pPr>
    <w:rPr>
      <w:sz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6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6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depeconom.admhmao.urii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monitoring.admhmao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epeconom.admhmao.ru/bitrix/admin/iblock_element_edit.php?IBLOCK_ID=121&amp;type=structure&amp;ID=1895841&amp;lang=ru&amp;find_section_section=69719&amp;form_element_121_active_tab=edit6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http://website/index_2007/gerb.pn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&#1093;&#1084;&#1072;&#1086;.&#1087;&#1092;&#1076;&#1086;.&#1088;&#1092;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help.pfd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2067C9-BB23-4A75-843B-045CDEE21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39</Pages>
  <Words>14594</Words>
  <Characters>83188</Characters>
  <Application>Microsoft Office Word</Application>
  <DocSecurity>4</DocSecurity>
  <Lines>693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Амеличкина Людмила Александровна</dc:creator>
  <cp:lastModifiedBy>Шубная  Юлия  Петровна</cp:lastModifiedBy>
  <cp:revision>2</cp:revision>
  <cp:lastPrinted>2019-08-29T12:12:00Z</cp:lastPrinted>
  <dcterms:created xsi:type="dcterms:W3CDTF">2019-09-01T09:26:00Z</dcterms:created>
  <dcterms:modified xsi:type="dcterms:W3CDTF">2019-09-01T09:26:00Z</dcterms:modified>
</cp:coreProperties>
</file>